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BF" w:rsidRDefault="002337A5" w:rsidP="002337A5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УДК 336.67</w:t>
      </w:r>
    </w:p>
    <w:p w:rsidR="00267ABF" w:rsidRDefault="002337A5" w:rsidP="002337A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Статистический анализ прибыли</w:t>
      </w:r>
      <w:r w:rsidR="00267ABF">
        <w:rPr>
          <w:rFonts w:ascii="Times New Roman" w:hAnsi="Times New Roman"/>
          <w:b/>
          <w:color w:val="000000"/>
          <w:sz w:val="28"/>
          <w:szCs w:val="28"/>
        </w:rPr>
        <w:t xml:space="preserve"> страховых организаций России</w:t>
      </w:r>
    </w:p>
    <w:p w:rsidR="00FC1E88" w:rsidRPr="00C55A32" w:rsidRDefault="009E7CD5" w:rsidP="00FC1E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FC1E88">
        <w:rPr>
          <w:rFonts w:ascii="Times New Roman" w:hAnsi="Times New Roman"/>
          <w:b/>
          <w:i/>
          <w:sz w:val="28"/>
          <w:szCs w:val="28"/>
        </w:rPr>
        <w:t>Е.А. Степанова</w:t>
      </w:r>
      <w:r w:rsidR="00FC1E88" w:rsidRPr="00C55A32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FC1E88">
        <w:rPr>
          <w:rFonts w:ascii="Times New Roman" w:hAnsi="Times New Roman"/>
          <w:i/>
          <w:sz w:val="28"/>
          <w:szCs w:val="28"/>
        </w:rPr>
        <w:t>студент</w:t>
      </w:r>
      <w:r w:rsidR="00FC1E88" w:rsidRPr="00C55A32">
        <w:rPr>
          <w:rFonts w:ascii="Times New Roman" w:hAnsi="Times New Roman"/>
          <w:i/>
          <w:sz w:val="28"/>
          <w:szCs w:val="28"/>
        </w:rPr>
        <w:t xml:space="preserve"> </w:t>
      </w:r>
    </w:p>
    <w:p w:rsidR="00FC1E88" w:rsidRPr="00C55A32" w:rsidRDefault="00FC1E88" w:rsidP="00FC1E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Оренбургский филиал</w:t>
      </w:r>
      <w:r w:rsidRPr="00C55A32">
        <w:rPr>
          <w:rFonts w:ascii="Times New Roman" w:hAnsi="Times New Roman"/>
          <w:i/>
          <w:sz w:val="28"/>
          <w:szCs w:val="28"/>
        </w:rPr>
        <w:t xml:space="preserve"> РЭУ им. Г. В. Плеханова, Россия</w:t>
      </w:r>
    </w:p>
    <w:p w:rsidR="009E7CD5" w:rsidRPr="00FC1E88" w:rsidRDefault="00FC1E88" w:rsidP="00FC1E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55A32">
        <w:rPr>
          <w:rFonts w:ascii="Times New Roman" w:hAnsi="Times New Roman"/>
          <w:i/>
          <w:sz w:val="28"/>
          <w:szCs w:val="28"/>
        </w:rPr>
        <w:t>Научный руководитель -</w:t>
      </w:r>
      <w:r>
        <w:rPr>
          <w:rFonts w:ascii="Times New Roman" w:hAnsi="Times New Roman"/>
          <w:b/>
          <w:i/>
          <w:sz w:val="28"/>
          <w:szCs w:val="28"/>
        </w:rPr>
        <w:t xml:space="preserve"> Е.В</w:t>
      </w:r>
      <w:r w:rsidRPr="00C55A32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Лаптева</w:t>
      </w:r>
      <w:r w:rsidRPr="00C55A32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к.э.н., доцент</w:t>
      </w:r>
    </w:p>
    <w:p w:rsidR="00FC1E88" w:rsidRDefault="00FC1E88" w:rsidP="009E7CD5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9E7CD5" w:rsidRDefault="009E7CD5" w:rsidP="001B6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36B">
        <w:rPr>
          <w:rFonts w:ascii="Times New Roman" w:hAnsi="Times New Roman"/>
          <w:b/>
          <w:color w:val="000000"/>
          <w:sz w:val="28"/>
          <w:szCs w:val="28"/>
        </w:rPr>
        <w:t>Аннотация:</w:t>
      </w:r>
      <w:r w:rsidR="001B6FA6">
        <w:rPr>
          <w:rFonts w:ascii="Times New Roman" w:hAnsi="Times New Roman"/>
          <w:color w:val="000000"/>
          <w:sz w:val="28"/>
          <w:szCs w:val="28"/>
        </w:rPr>
        <w:t xml:space="preserve"> Статья посвящена статистическому анализу прибыли страховых организаций России. Автором изучена динамика данного показателя, осуществлено его прогнозирование на 2017-2019 гг. </w:t>
      </w:r>
      <w:r w:rsidR="003A6BE7">
        <w:rPr>
          <w:rFonts w:ascii="Times New Roman" w:hAnsi="Times New Roman"/>
          <w:color w:val="000000"/>
          <w:sz w:val="28"/>
          <w:szCs w:val="28"/>
        </w:rPr>
        <w:t>Также автором проведен многофакторный корреляционно-регрессионный</w:t>
      </w:r>
      <w:r w:rsidR="001B6FA6">
        <w:rPr>
          <w:rFonts w:ascii="Times New Roman" w:hAnsi="Times New Roman"/>
          <w:color w:val="000000"/>
          <w:sz w:val="28"/>
          <w:szCs w:val="28"/>
        </w:rPr>
        <w:t xml:space="preserve"> анализ прибыли страховых организаций. На основе исследования сделаны выводы о тенденциях и перспективах прибыли страховщиков. </w:t>
      </w:r>
    </w:p>
    <w:p w:rsidR="009E7CD5" w:rsidRDefault="009E7CD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36B">
        <w:rPr>
          <w:rFonts w:ascii="Times New Roman" w:hAnsi="Times New Roman"/>
          <w:b/>
          <w:color w:val="000000"/>
          <w:sz w:val="28"/>
          <w:szCs w:val="28"/>
        </w:rPr>
        <w:t>Ключевые слова:</w:t>
      </w:r>
      <w:r w:rsidR="001B6FA6">
        <w:rPr>
          <w:rFonts w:ascii="Times New Roman" w:hAnsi="Times New Roman"/>
          <w:color w:val="000000"/>
          <w:sz w:val="28"/>
          <w:szCs w:val="28"/>
        </w:rPr>
        <w:t xml:space="preserve"> страхование, пр</w:t>
      </w:r>
      <w:r w:rsidR="003A6BE7">
        <w:rPr>
          <w:rFonts w:ascii="Times New Roman" w:hAnsi="Times New Roman"/>
          <w:color w:val="000000"/>
          <w:sz w:val="28"/>
          <w:szCs w:val="28"/>
        </w:rPr>
        <w:t>ибыль, прогнозирование, корреляционно-регрессионный анализ</w:t>
      </w:r>
      <w:r w:rsidR="001B6FA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E7CD5" w:rsidRDefault="009E7CD5" w:rsidP="009E7CD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E7CD5" w:rsidRPr="003A6BE7" w:rsidRDefault="009E7CD5" w:rsidP="003A6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1136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Abstract:</w:t>
      </w:r>
      <w:r w:rsidR="003A6BE7" w:rsidRPr="003A6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A6BE7" w:rsidRPr="003A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article is devoted to the statistical analysis of the profit of insurance companies in Russia. The dynamics of this indicator is studied by the </w:t>
      </w:r>
      <w:proofErr w:type="gramStart"/>
      <w:r w:rsidR="003A6BE7" w:rsidRPr="003A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author,</w:t>
      </w:r>
      <w:proofErr w:type="gramEnd"/>
      <w:r w:rsidR="003A6BE7" w:rsidRPr="003A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his prediction for 2017-2019 is carried out. The author also conducted a multi-factor correlation and regression analysis of the profits of insurance companies. On the basis of research conclusions about tendencies and prospects</w:t>
      </w:r>
      <w:r w:rsidR="003A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of profit of insurers are made</w:t>
      </w:r>
      <w:r w:rsidR="003A6BE7" w:rsidRPr="003A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9E7CD5" w:rsidRPr="003A6BE7" w:rsidRDefault="009E7CD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136B">
        <w:rPr>
          <w:rFonts w:ascii="Times New Roman" w:hAnsi="Times New Roman"/>
          <w:b/>
          <w:color w:val="000000"/>
          <w:sz w:val="28"/>
          <w:szCs w:val="28"/>
          <w:lang w:val="en-US"/>
        </w:rPr>
        <w:t>Keywords:</w:t>
      </w:r>
      <w:r w:rsidR="003A6BE7" w:rsidRPr="003A6BE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3A6BE7" w:rsidRPr="003A6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insurance, profit, forecasting, correlation and regression analysis.</w:t>
      </w:r>
    </w:p>
    <w:p w:rsidR="009E7CD5" w:rsidRPr="003A6BE7" w:rsidRDefault="009E7CD5" w:rsidP="009E7CD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34AC5" w:rsidRPr="00134AC5" w:rsidRDefault="00134AC5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88">
        <w:rPr>
          <w:rFonts w:ascii="Times New Roman" w:hAnsi="Times New Roman" w:cs="Times New Roman"/>
          <w:sz w:val="28"/>
          <w:szCs w:val="28"/>
        </w:rPr>
        <w:t>Страхование имеет многовековую историю и относится к таким основополагающим категориям, как деньги, кредит, налоги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88">
        <w:rPr>
          <w:rFonts w:ascii="Times New Roman" w:hAnsi="Times New Roman" w:cs="Times New Roman"/>
          <w:sz w:val="28"/>
          <w:szCs w:val="28"/>
        </w:rPr>
        <w:t>[</w:t>
      </w:r>
      <w:r w:rsidR="007E0B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с.11</w:t>
      </w:r>
      <w:r w:rsidRPr="00034988">
        <w:rPr>
          <w:rFonts w:ascii="Times New Roman" w:hAnsi="Times New Roman" w:cs="Times New Roman"/>
          <w:sz w:val="28"/>
          <w:szCs w:val="28"/>
        </w:rPr>
        <w:t>].</w:t>
      </w:r>
      <w:r w:rsidRPr="005A3F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Страхование возникло и развивалось, имея своим конечным назначением удовлетворение разнообразных потребностей человека через систему страховой защиты от случайных опасностей </w:t>
      </w:r>
      <w:r w:rsidR="007E0BD5">
        <w:rPr>
          <w:rFonts w:ascii="Times New Roman" w:hAnsi="Times New Roman" w:cs="Times New Roman"/>
          <w:sz w:val="28"/>
          <w:szCs w:val="32"/>
        </w:rPr>
        <w:t>[7</w:t>
      </w:r>
      <w:r>
        <w:rPr>
          <w:rFonts w:ascii="Times New Roman" w:hAnsi="Times New Roman" w:cs="Times New Roman"/>
          <w:sz w:val="28"/>
          <w:szCs w:val="32"/>
        </w:rPr>
        <w:t>, с.5</w:t>
      </w:r>
      <w:r w:rsidRPr="0079602A">
        <w:rPr>
          <w:rFonts w:ascii="Times New Roman" w:hAnsi="Times New Roman" w:cs="Times New Roman"/>
          <w:sz w:val="28"/>
          <w:szCs w:val="32"/>
        </w:rPr>
        <w:t>]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:rsidR="00134AC5" w:rsidRDefault="00134AC5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В соответствии с Законом Российской Федерации от 27.11.1992 </w:t>
      </w:r>
      <w:r>
        <w:rPr>
          <w:rFonts w:ascii="Times New Roman" w:hAnsi="Times New Roman" w:cs="Times New Roman"/>
          <w:sz w:val="28"/>
          <w:szCs w:val="28"/>
        </w:rPr>
        <w:t xml:space="preserve">№ 4015-1 «Об организации страхового дела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2AF7">
        <w:rPr>
          <w:rFonts w:ascii="Times New Roman" w:eastAsia="Times New Roman" w:hAnsi="Times New Roman" w:cs="Times New Roman"/>
          <w:sz w:val="28"/>
          <w:szCs w:val="28"/>
        </w:rPr>
        <w:t>трах</w:t>
      </w:r>
      <w:r>
        <w:rPr>
          <w:rFonts w:ascii="Times New Roman" w:eastAsia="Times New Roman" w:hAnsi="Times New Roman" w:cs="Times New Roman"/>
          <w:sz w:val="28"/>
          <w:szCs w:val="28"/>
        </w:rPr>
        <w:t>ование представляет собой</w:t>
      </w:r>
      <w:r w:rsidRPr="00762AF7">
        <w:rPr>
          <w:rFonts w:ascii="Times New Roman" w:eastAsia="Times New Roman" w:hAnsi="Times New Roman" w:cs="Times New Roman"/>
          <w:sz w:val="28"/>
          <w:szCs w:val="28"/>
        </w:rPr>
        <w:t xml:space="preserve">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F7">
        <w:rPr>
          <w:rFonts w:ascii="Times New Roman" w:eastAsia="Times New Roman" w:hAnsi="Times New Roman" w:cs="Times New Roman"/>
          <w:sz w:val="28"/>
          <w:szCs w:val="28"/>
        </w:rPr>
        <w:t>[</w:t>
      </w:r>
      <w:r w:rsidR="007E0B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2AF7">
        <w:rPr>
          <w:rFonts w:ascii="Times New Roman" w:eastAsia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End"/>
    </w:p>
    <w:p w:rsidR="00267ABF" w:rsidRPr="00134AC5" w:rsidRDefault="00134AC5" w:rsidP="005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страховых отношений в обществе стало причиной формирования страхового рынка страны. Страховой рынок можно охарактеризовать как совокупность экономических отношений, где предметом купли-продажи являются страховые продукты </w:t>
      </w:r>
      <w:r w:rsidRPr="001C44DE">
        <w:rPr>
          <w:rFonts w:ascii="Times New Roman" w:eastAsia="Times New Roman" w:hAnsi="Times New Roman" w:cs="Times New Roman"/>
          <w:sz w:val="28"/>
          <w:szCs w:val="28"/>
        </w:rPr>
        <w:t>[</w:t>
      </w:r>
      <w:r w:rsidR="007E0BD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с.19</w:t>
      </w:r>
      <w:r w:rsidRPr="001C44DE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7ABF" w:rsidRPr="005A5D31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Одним из важнейших показателей деятельности страховщиков на страховом рынке страны является прибыль. Прибыль – это чистый доход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предпринимателя на вложенный капитал, вознаграждение за риск предпринимательской деятельности, представляющий собой разность между совокупным доходом и совокупными затратами в процессе осуществления этой деятельности </w:t>
      </w:r>
      <w:r w:rsidRPr="005A5D31">
        <w:rPr>
          <w:rFonts w:ascii="Times New Roman" w:hAnsi="Times New Roman"/>
          <w:color w:val="000000"/>
          <w:sz w:val="28"/>
          <w:szCs w:val="28"/>
        </w:rPr>
        <w:t>[</w:t>
      </w:r>
      <w:r w:rsidR="007E0BD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, с.273</w:t>
      </w:r>
      <w:r w:rsidRPr="005A5D31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34AC5" w:rsidRDefault="00134AC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Статистический анализ прибыли страховых организаций имеет важное практическое значение, поскольку позволяет проследить динамику финансовых результатов страховщиков, выявить их ключевые тенденции и сделать выводы о результатах страховой деятельности за исследуемый период и перспективах развития страхового рынка страны. Этим и предопределяется актуальность выбранной темы.  </w:t>
      </w:r>
    </w:p>
    <w:p w:rsidR="00267ABF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Проанализируем прибыль прибыльных страховых организаций за период 2005-2016 гг.</w:t>
      </w:r>
      <w:r w:rsidR="00134A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7ABF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Наглядно динамика данного показ</w:t>
      </w:r>
      <w:r w:rsidR="00134AC5">
        <w:rPr>
          <w:rFonts w:ascii="Times New Roman" w:hAnsi="Times New Roman"/>
          <w:color w:val="000000"/>
          <w:sz w:val="28"/>
          <w:szCs w:val="28"/>
        </w:rPr>
        <w:t xml:space="preserve">ателя представлена на рисунке </w:t>
      </w:r>
      <w:r>
        <w:rPr>
          <w:rFonts w:ascii="Times New Roman" w:hAnsi="Times New Roman"/>
          <w:color w:val="000000"/>
          <w:sz w:val="28"/>
          <w:szCs w:val="28"/>
        </w:rPr>
        <w:t>1.</w:t>
      </w:r>
    </w:p>
    <w:p w:rsidR="00267ABF" w:rsidRDefault="00267ABF" w:rsidP="002337A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23C8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481234" cy="2095500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7ABF" w:rsidRPr="00E1436A" w:rsidRDefault="00134AC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E1436A">
        <w:rPr>
          <w:rFonts w:ascii="Times New Roman" w:hAnsi="Times New Roman"/>
          <w:color w:val="000000"/>
          <w:sz w:val="24"/>
          <w:szCs w:val="28"/>
        </w:rPr>
        <w:t xml:space="preserve">Рисунок </w:t>
      </w:r>
      <w:r w:rsidR="00267ABF" w:rsidRPr="00E1436A">
        <w:rPr>
          <w:rFonts w:ascii="Times New Roman" w:hAnsi="Times New Roman"/>
          <w:color w:val="000000"/>
          <w:sz w:val="24"/>
          <w:szCs w:val="28"/>
        </w:rPr>
        <w:t xml:space="preserve">1 – Динамика прибыли прибыльных страховых организаций, млрд. руб. </w:t>
      </w:r>
    </w:p>
    <w:p w:rsidR="00267ABF" w:rsidRPr="003441F8" w:rsidRDefault="00267ABF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E1436A">
        <w:rPr>
          <w:rFonts w:ascii="Times New Roman" w:hAnsi="Times New Roman" w:cs="Times New Roman"/>
          <w:sz w:val="24"/>
          <w:szCs w:val="32"/>
        </w:rPr>
        <w:t>Составлено автором по данным из источника [</w:t>
      </w:r>
      <w:r w:rsidR="007E0BD5" w:rsidRPr="00E1436A">
        <w:rPr>
          <w:rFonts w:ascii="Times New Roman" w:hAnsi="Times New Roman" w:cs="Times New Roman"/>
          <w:sz w:val="24"/>
          <w:szCs w:val="32"/>
        </w:rPr>
        <w:t>5</w:t>
      </w:r>
      <w:r w:rsidRPr="00E1436A">
        <w:rPr>
          <w:rFonts w:ascii="Times New Roman" w:hAnsi="Times New Roman" w:cs="Times New Roman"/>
          <w:sz w:val="24"/>
          <w:szCs w:val="32"/>
        </w:rPr>
        <w:t>]</w:t>
      </w:r>
    </w:p>
    <w:p w:rsidR="00E1436A" w:rsidRPr="003441F8" w:rsidRDefault="00E1436A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</w:rPr>
      </w:pPr>
    </w:p>
    <w:p w:rsidR="00267ABF" w:rsidRDefault="00134AC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Визуальный анализ рисунка </w:t>
      </w:r>
      <w:r w:rsidR="00267ABF">
        <w:rPr>
          <w:rFonts w:ascii="Times New Roman" w:hAnsi="Times New Roman"/>
          <w:color w:val="000000"/>
          <w:sz w:val="28"/>
          <w:szCs w:val="28"/>
        </w:rPr>
        <w:t xml:space="preserve">1 позволяет сделать вывод о том, что наименьшего значения показатель достиг в 2008 году (23,5 млрд. руб.), наибольшего – в 2016 году (149,7 млрд. руб.). Снижение показателя прибыли в 2008 году объясняется последствиями мирового экономического кризиса. </w:t>
      </w:r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Рассмотрим основные показатели динамического ряда прибыли с</w:t>
      </w:r>
      <w:r w:rsidR="00134AC5">
        <w:rPr>
          <w:rFonts w:ascii="Times New Roman" w:hAnsi="Times New Roman" w:cs="Times New Roman"/>
          <w:sz w:val="28"/>
          <w:szCs w:val="32"/>
        </w:rPr>
        <w:t xml:space="preserve">траховых организаций (таблица </w:t>
      </w:r>
      <w:r>
        <w:rPr>
          <w:rFonts w:ascii="Times New Roman" w:hAnsi="Times New Roman" w:cs="Times New Roman"/>
          <w:sz w:val="28"/>
          <w:szCs w:val="32"/>
        </w:rPr>
        <w:t xml:space="preserve">1). </w:t>
      </w:r>
    </w:p>
    <w:p w:rsidR="00EE31EF" w:rsidRDefault="00EE31EF" w:rsidP="00EE31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таблицы 1, наибольший абсолютный прирост по цепной системе наблюдался в 2015 году (61,9 млрд. руб.), наименьший – в 2013 году (-19,3 млрд. руб.). По базисной системе наибольший абсолютный прирост был зафиксирован в 2016 году (120 млрд. руб.), наименьший – в 2008 году    (-6,2 млрд. руб.). Наибольший темп роста по цепной системе отмечался в 2015 году (в 1,78 раза), наименьший – в 2013 году (в 0,76 раза). По базисной системе наибольший темп роста наблюдался в 2016 году (в 5,04 раза), наименьший - в 2008 году (в 0,79 раза). Наибольшее абсолютное значение 1% прироста по цепной системе составило 1,42 млрд.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руб. в 2016 году, наименьшее  - 0,24 млрд. руб. в 2009 году. Абсолютное значение 1% прироста по базисной системе составляло 0,3 млрд. руб. </w:t>
      </w:r>
    </w:p>
    <w:p w:rsidR="00267ABF" w:rsidRDefault="00134AC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267ABF">
        <w:rPr>
          <w:rFonts w:ascii="Times New Roman" w:hAnsi="Times New Roman"/>
          <w:color w:val="000000"/>
          <w:sz w:val="28"/>
          <w:szCs w:val="28"/>
        </w:rPr>
        <w:t xml:space="preserve">1 – Основные </w:t>
      </w:r>
      <w:r w:rsidR="00267ABF">
        <w:rPr>
          <w:rFonts w:ascii="Times New Roman" w:hAnsi="Times New Roman" w:cs="Times New Roman"/>
          <w:sz w:val="28"/>
          <w:szCs w:val="32"/>
        </w:rPr>
        <w:t>показатели динамического ряда прибыли страховых организаций</w:t>
      </w:r>
    </w:p>
    <w:tbl>
      <w:tblPr>
        <w:tblW w:w="9469" w:type="dxa"/>
        <w:jc w:val="center"/>
        <w:tblInd w:w="-34" w:type="dxa"/>
        <w:tblLook w:val="04A0"/>
      </w:tblPr>
      <w:tblGrid>
        <w:gridCol w:w="866"/>
        <w:gridCol w:w="425"/>
        <w:gridCol w:w="709"/>
        <w:gridCol w:w="850"/>
        <w:gridCol w:w="1030"/>
        <w:gridCol w:w="833"/>
        <w:gridCol w:w="1030"/>
        <w:gridCol w:w="833"/>
        <w:gridCol w:w="1030"/>
        <w:gridCol w:w="833"/>
        <w:gridCol w:w="1030"/>
      </w:tblGrid>
      <w:tr w:rsidR="00267ABF" w:rsidRPr="00B24213" w:rsidTr="00134AC5">
        <w:trPr>
          <w:trHeight w:val="9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yt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Абсолютный прирост, млрд. руб.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роста, раз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прироста, раз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Абсолютное значение 1% прироста, млрд</w:t>
            </w:r>
            <w:proofErr w:type="gramStart"/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базисный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267ABF" w:rsidRPr="00B24213" w:rsidTr="00134AC5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B24213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</w:tbl>
    <w:p w:rsidR="00267ABF" w:rsidRPr="00912862" w:rsidRDefault="00267ABF" w:rsidP="0023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2862">
        <w:rPr>
          <w:rFonts w:ascii="Times New Roman" w:hAnsi="Times New Roman" w:cs="Times New Roman"/>
          <w:sz w:val="24"/>
          <w:szCs w:val="32"/>
        </w:rPr>
        <w:t xml:space="preserve">Источник: расчеты автора, проведенные в </w:t>
      </w:r>
      <w:r w:rsidRPr="00912862">
        <w:rPr>
          <w:rFonts w:ascii="Times New Roman" w:hAnsi="Times New Roman" w:cs="Times New Roman"/>
          <w:sz w:val="24"/>
          <w:szCs w:val="32"/>
          <w:lang w:val="en-US"/>
        </w:rPr>
        <w:t>MS</w:t>
      </w:r>
      <w:r w:rsidRPr="00912862">
        <w:rPr>
          <w:rFonts w:ascii="Times New Roman" w:hAnsi="Times New Roman" w:cs="Times New Roman"/>
          <w:sz w:val="24"/>
          <w:szCs w:val="32"/>
        </w:rPr>
        <w:t xml:space="preserve"> </w:t>
      </w:r>
      <w:r w:rsidRPr="00912862">
        <w:rPr>
          <w:rFonts w:ascii="Times New Roman" w:hAnsi="Times New Roman" w:cs="Times New Roman"/>
          <w:sz w:val="24"/>
          <w:szCs w:val="32"/>
          <w:lang w:val="en-US"/>
        </w:rPr>
        <w:t>Excel</w:t>
      </w:r>
      <w:r w:rsidRPr="00912862">
        <w:rPr>
          <w:rFonts w:ascii="Times New Roman" w:hAnsi="Times New Roman" w:cs="Times New Roman"/>
          <w:sz w:val="24"/>
          <w:szCs w:val="32"/>
        </w:rPr>
        <w:t xml:space="preserve">, </w:t>
      </w:r>
      <w:r w:rsidR="009557CC">
        <w:rPr>
          <w:rFonts w:ascii="Times New Roman" w:hAnsi="Times New Roman" w:cs="Times New Roman"/>
          <w:sz w:val="24"/>
          <w:szCs w:val="32"/>
        </w:rPr>
        <w:t>на основе данных из источника [4</w:t>
      </w:r>
      <w:r w:rsidRPr="00912862">
        <w:rPr>
          <w:rFonts w:ascii="Times New Roman" w:hAnsi="Times New Roman" w:cs="Times New Roman"/>
          <w:sz w:val="24"/>
          <w:szCs w:val="32"/>
        </w:rPr>
        <w:t>]</w:t>
      </w:r>
    </w:p>
    <w:p w:rsidR="00267ABF" w:rsidRDefault="00267ABF" w:rsidP="002337A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ABF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Средний абсолютный прирост прибыли страховых организаций за анализируемый период составил 10,9 млрд. руб., средний темп роста – 115,24%, средний темп прироста – 15,24%, среднее значение 1% прироста – 0,69 млрд. руб. </w:t>
      </w:r>
    </w:p>
    <w:p w:rsidR="00267ABF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3E82">
        <w:rPr>
          <w:rFonts w:ascii="Times New Roman" w:hAnsi="Times New Roman"/>
          <w:color w:val="000000"/>
          <w:sz w:val="28"/>
          <w:szCs w:val="28"/>
        </w:rPr>
        <w:t>Осуществим прогноз</w:t>
      </w:r>
      <w:r>
        <w:rPr>
          <w:rFonts w:ascii="Times New Roman" w:hAnsi="Times New Roman"/>
          <w:color w:val="000000"/>
          <w:sz w:val="28"/>
          <w:szCs w:val="28"/>
        </w:rPr>
        <w:t>ирование</w:t>
      </w:r>
      <w:r w:rsidRPr="00B23E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прибыли страховых организаций</w:t>
      </w:r>
      <w:r w:rsidRPr="00B23E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2017, 2018 и 2019 гг. </w:t>
      </w:r>
      <w:r w:rsidRPr="00B23E82">
        <w:rPr>
          <w:rFonts w:ascii="Times New Roman" w:hAnsi="Times New Roman"/>
          <w:color w:val="000000"/>
          <w:sz w:val="28"/>
          <w:szCs w:val="28"/>
        </w:rPr>
        <w:t>с помощью линий тренда, выбранных по наибо</w:t>
      </w:r>
      <w:r>
        <w:rPr>
          <w:rFonts w:ascii="Times New Roman" w:hAnsi="Times New Roman"/>
          <w:color w:val="000000"/>
          <w:sz w:val="28"/>
          <w:szCs w:val="28"/>
        </w:rPr>
        <w:t>льшему коэффициенту аппроксимации</w:t>
      </w:r>
      <w:r w:rsidRPr="00B23E82">
        <w:rPr>
          <w:rFonts w:ascii="Times New Roman" w:hAnsi="Times New Roman"/>
          <w:color w:val="000000"/>
          <w:sz w:val="28"/>
          <w:szCs w:val="28"/>
        </w:rPr>
        <w:t xml:space="preserve"> R</w:t>
      </w:r>
      <w:r w:rsidRPr="00B23E8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B23E82">
        <w:rPr>
          <w:rFonts w:ascii="Times New Roman" w:hAnsi="Times New Roman"/>
          <w:color w:val="000000"/>
          <w:sz w:val="28"/>
          <w:szCs w:val="28"/>
        </w:rPr>
        <w:t>.</w:t>
      </w:r>
    </w:p>
    <w:p w:rsidR="00267ABF" w:rsidRPr="00FA10B1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Однако перед осуществлением прогнозирования необходимо выяснить, существует ли тенденция в исходном временном ряду.</w:t>
      </w:r>
      <w:r w:rsidRPr="00FA1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0B1">
        <w:rPr>
          <w:rFonts w:ascii="Times New Roman" w:hAnsi="Times New Roman" w:cs="Times New Roman"/>
          <w:sz w:val="28"/>
          <w:szCs w:val="28"/>
        </w:rPr>
        <w:t>Проверка наличия тенденции осуществляется на основе критерия серий.</w:t>
      </w:r>
    </w:p>
    <w:p w:rsidR="00267ABF" w:rsidRDefault="00134AC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таблице </w:t>
      </w:r>
      <w:r w:rsidR="00267ABF">
        <w:rPr>
          <w:rFonts w:ascii="Times New Roman" w:hAnsi="Times New Roman"/>
          <w:color w:val="000000"/>
          <w:sz w:val="28"/>
          <w:szCs w:val="28"/>
        </w:rPr>
        <w:t>2 представлены промежуточные данные, необходимые для определения тенденции в исходном временном ряду.</w:t>
      </w:r>
    </w:p>
    <w:p w:rsidR="00EE31EF" w:rsidRPr="00637D92" w:rsidRDefault="00EE31EF" w:rsidP="00EE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2">
        <w:rPr>
          <w:rFonts w:ascii="Times New Roman" w:eastAsia="Times New Roman" w:hAnsi="Times New Roman" w:cs="Times New Roman"/>
          <w:sz w:val="28"/>
          <w:szCs w:val="28"/>
        </w:rPr>
        <w:t>Считаем м</w:t>
      </w:r>
      <w:r>
        <w:rPr>
          <w:rFonts w:ascii="Times New Roman" w:hAnsi="Times New Roman" w:cs="Times New Roman"/>
          <w:sz w:val="28"/>
          <w:szCs w:val="28"/>
        </w:rPr>
        <w:t>едиану исходного ряда: Ме =</w:t>
      </w:r>
      <w:r w:rsidRPr="00637D92"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637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7D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млрд. руб.</w:t>
      </w:r>
    </w:p>
    <w:p w:rsidR="00EE31EF" w:rsidRPr="00637D92" w:rsidRDefault="00EE31EF" w:rsidP="00EE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серий </w:t>
      </w:r>
      <w:r w:rsidRPr="00637D92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путем подсчета: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37D92">
        <w:rPr>
          <w:rFonts w:ascii="Times New Roman" w:hAnsi="Times New Roman" w:cs="Times New Roman"/>
          <w:sz w:val="28"/>
          <w:szCs w:val="28"/>
        </w:rPr>
        <w:t>12</w:t>
      </w:r>
      <w:r w:rsidRPr="00637D9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7D92">
        <w:rPr>
          <w:rFonts w:ascii="Times New Roman" w:hAnsi="Times New Roman" w:cs="Times New Roman"/>
          <w:sz w:val="28"/>
          <w:szCs w:val="28"/>
        </w:rPr>
        <w:t xml:space="preserve"> </w:t>
      </w:r>
      <w:r w:rsidRPr="00637D92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63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EE31EF" w:rsidRPr="00637D92" w:rsidRDefault="00EE31EF" w:rsidP="00EE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2">
        <w:rPr>
          <w:rFonts w:ascii="Times New Roman" w:eastAsia="Times New Roman" w:hAnsi="Times New Roman" w:cs="Times New Roman"/>
          <w:sz w:val="28"/>
          <w:szCs w:val="28"/>
        </w:rPr>
        <w:t>Определяем протяженность самой длинной серии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7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D92">
        <w:rPr>
          <w:rFonts w:ascii="Times New Roman" w:eastAsia="Times New Roman" w:hAnsi="Times New Roman" w:cs="Times New Roman"/>
          <w:sz w:val="28"/>
          <w:szCs w:val="28"/>
        </w:rPr>
        <w:sym w:font="Symbol" w:char="F074"/>
      </w:r>
      <w:r w:rsidRPr="00637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D92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(12) = 6.</w:t>
      </w:r>
    </w:p>
    <w:p w:rsidR="00EE31EF" w:rsidRPr="00637D92" w:rsidRDefault="00EE31EF" w:rsidP="00EE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2">
        <w:rPr>
          <w:rFonts w:ascii="Times New Roman" w:eastAsia="Times New Roman" w:hAnsi="Times New Roman" w:cs="Times New Roman"/>
          <w:sz w:val="28"/>
          <w:szCs w:val="28"/>
        </w:rPr>
        <w:t>Проверяем гипотезу о случайности исхо</w:t>
      </w:r>
      <w:r>
        <w:rPr>
          <w:rFonts w:ascii="Times New Roman" w:hAnsi="Times New Roman" w:cs="Times New Roman"/>
          <w:sz w:val="28"/>
          <w:szCs w:val="28"/>
        </w:rPr>
        <w:t>дного ряда.</w:t>
      </w:r>
      <w:r w:rsidRPr="00637D92">
        <w:rPr>
          <w:rFonts w:ascii="Times New Roman" w:eastAsia="Times New Roman" w:hAnsi="Times New Roman" w:cs="Times New Roman"/>
          <w:sz w:val="28"/>
          <w:szCs w:val="28"/>
        </w:rPr>
        <w:t xml:space="preserve"> Получаем: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37D92">
        <w:rPr>
          <w:rFonts w:ascii="Times New Roman" w:hAnsi="Times New Roman" w:cs="Times New Roman"/>
          <w:sz w:val="28"/>
          <w:szCs w:val="28"/>
        </w:rPr>
        <w:t>12</w:t>
      </w:r>
      <w:r w:rsidRPr="00637D9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&lt;3,25, </w:t>
      </w:r>
      <w:r w:rsidRPr="00637D92">
        <w:rPr>
          <w:rFonts w:ascii="Times New Roman" w:eastAsia="Times New Roman" w:hAnsi="Times New Roman" w:cs="Times New Roman"/>
          <w:sz w:val="28"/>
          <w:szCs w:val="28"/>
        </w:rPr>
        <w:sym w:font="Symbol" w:char="F074"/>
      </w:r>
      <w:r w:rsidRPr="00637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D92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(12)</w:t>
      </w:r>
      <w:r w:rsidRPr="00013843">
        <w:rPr>
          <w:rFonts w:ascii="Times New Roman" w:hAnsi="Times New Roman" w:cs="Times New Roman"/>
          <w:sz w:val="28"/>
          <w:szCs w:val="28"/>
        </w:rPr>
        <w:t>&gt;3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843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EF" w:rsidRDefault="00EE31EF" w:rsidP="00EE31E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637D92">
        <w:rPr>
          <w:sz w:val="28"/>
          <w:szCs w:val="28"/>
        </w:rPr>
        <w:t xml:space="preserve">Так </w:t>
      </w:r>
      <w:r>
        <w:rPr>
          <w:sz w:val="28"/>
          <w:szCs w:val="28"/>
        </w:rPr>
        <w:t>как неравенства не выполняются,</w:t>
      </w:r>
      <w:r w:rsidRPr="00637D92">
        <w:rPr>
          <w:sz w:val="28"/>
          <w:szCs w:val="28"/>
        </w:rPr>
        <w:t xml:space="preserve"> гипотеза о сл</w:t>
      </w:r>
      <w:r>
        <w:rPr>
          <w:sz w:val="28"/>
          <w:szCs w:val="28"/>
        </w:rPr>
        <w:t>учайности ряда отклоняется, то есть</w:t>
      </w:r>
      <w:r w:rsidRPr="00637D92">
        <w:rPr>
          <w:sz w:val="28"/>
          <w:szCs w:val="28"/>
        </w:rPr>
        <w:t xml:space="preserve"> в изменении </w:t>
      </w:r>
      <w:r>
        <w:rPr>
          <w:sz w:val="28"/>
          <w:szCs w:val="28"/>
        </w:rPr>
        <w:t xml:space="preserve">прибыли страховых организаций </w:t>
      </w:r>
      <w:r w:rsidRPr="00637D92">
        <w:rPr>
          <w:sz w:val="28"/>
          <w:szCs w:val="28"/>
        </w:rPr>
        <w:t>наблюдается тенденция.</w:t>
      </w:r>
      <w:r>
        <w:rPr>
          <w:sz w:val="28"/>
          <w:szCs w:val="28"/>
        </w:rPr>
        <w:t xml:space="preserve"> Итак, прогнозирование возможно. </w:t>
      </w:r>
    </w:p>
    <w:p w:rsidR="00267ABF" w:rsidRDefault="00134AC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Таблица </w:t>
      </w:r>
      <w:r w:rsidR="00267ABF">
        <w:rPr>
          <w:rFonts w:ascii="Times New Roman" w:hAnsi="Times New Roman"/>
          <w:color w:val="000000"/>
          <w:sz w:val="28"/>
          <w:szCs w:val="28"/>
        </w:rPr>
        <w:t xml:space="preserve">2 – Данные для определения тенденции по критерию серий, основанному на медиане выборки </w:t>
      </w:r>
    </w:p>
    <w:tbl>
      <w:tblPr>
        <w:tblW w:w="480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267ABF" w:rsidRPr="00FA10B1" w:rsidTr="006B5B7E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proofErr w:type="spellEnd"/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67ABF" w:rsidRPr="00FA10B1" w:rsidTr="006B5B7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BF" w:rsidRPr="00FA10B1" w:rsidRDefault="00267ABF" w:rsidP="00233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10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267ABF" w:rsidRPr="009D3A8B" w:rsidRDefault="00267ABF" w:rsidP="0023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D3A8B">
        <w:rPr>
          <w:rFonts w:ascii="Times New Roman" w:hAnsi="Times New Roman" w:cs="Times New Roman"/>
          <w:sz w:val="24"/>
          <w:szCs w:val="32"/>
        </w:rPr>
        <w:t xml:space="preserve">Источник: расчеты автора, проведенные в </w:t>
      </w:r>
      <w:r w:rsidRPr="009D3A8B">
        <w:rPr>
          <w:rFonts w:ascii="Times New Roman" w:hAnsi="Times New Roman" w:cs="Times New Roman"/>
          <w:sz w:val="24"/>
          <w:szCs w:val="32"/>
          <w:lang w:val="en-US"/>
        </w:rPr>
        <w:t>MS</w:t>
      </w:r>
      <w:r w:rsidRPr="009D3A8B">
        <w:rPr>
          <w:rFonts w:ascii="Times New Roman" w:hAnsi="Times New Roman" w:cs="Times New Roman"/>
          <w:sz w:val="24"/>
          <w:szCs w:val="32"/>
        </w:rPr>
        <w:t xml:space="preserve"> </w:t>
      </w:r>
      <w:r w:rsidRPr="009D3A8B">
        <w:rPr>
          <w:rFonts w:ascii="Times New Roman" w:hAnsi="Times New Roman" w:cs="Times New Roman"/>
          <w:sz w:val="24"/>
          <w:szCs w:val="32"/>
          <w:lang w:val="en-US"/>
        </w:rPr>
        <w:t>Excel</w:t>
      </w:r>
      <w:r w:rsidRPr="009D3A8B">
        <w:rPr>
          <w:rFonts w:ascii="Times New Roman" w:hAnsi="Times New Roman" w:cs="Times New Roman"/>
          <w:sz w:val="24"/>
          <w:szCs w:val="32"/>
        </w:rPr>
        <w:t xml:space="preserve">, </w:t>
      </w:r>
      <w:r w:rsidR="009557CC">
        <w:rPr>
          <w:rFonts w:ascii="Times New Roman" w:hAnsi="Times New Roman" w:cs="Times New Roman"/>
          <w:sz w:val="24"/>
          <w:szCs w:val="32"/>
        </w:rPr>
        <w:t>на основе данных из источника [4</w:t>
      </w:r>
      <w:r w:rsidRPr="009D3A8B">
        <w:rPr>
          <w:rFonts w:ascii="Times New Roman" w:hAnsi="Times New Roman" w:cs="Times New Roman"/>
          <w:sz w:val="24"/>
          <w:szCs w:val="32"/>
        </w:rPr>
        <w:t>]</w:t>
      </w:r>
    </w:p>
    <w:p w:rsidR="00267ABF" w:rsidRDefault="00267ABF" w:rsidP="002337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ABF" w:rsidRPr="00E41991" w:rsidRDefault="00267ABF" w:rsidP="00540BED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Осуществим постр</w:t>
      </w:r>
      <w:r w:rsidR="00134AC5">
        <w:rPr>
          <w:sz w:val="28"/>
          <w:szCs w:val="28"/>
        </w:rPr>
        <w:t>оение линий тренда</w:t>
      </w:r>
      <w:r>
        <w:rPr>
          <w:sz w:val="28"/>
          <w:szCs w:val="28"/>
        </w:rPr>
        <w:t>. Типы линий тренда с указанием коэффициентов детер</w:t>
      </w:r>
      <w:r w:rsidR="00134AC5">
        <w:rPr>
          <w:sz w:val="28"/>
          <w:szCs w:val="28"/>
        </w:rPr>
        <w:t xml:space="preserve">минации представлены в таблице </w:t>
      </w:r>
      <w:r>
        <w:rPr>
          <w:sz w:val="28"/>
          <w:szCs w:val="28"/>
        </w:rPr>
        <w:t>3.</w:t>
      </w:r>
    </w:p>
    <w:p w:rsidR="00267ABF" w:rsidRPr="00B23E82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3E82">
        <w:rPr>
          <w:rFonts w:ascii="Times New Roman" w:hAnsi="Times New Roman"/>
          <w:color w:val="000000"/>
          <w:sz w:val="28"/>
          <w:szCs w:val="28"/>
        </w:rPr>
        <w:t>Таблица</w:t>
      </w:r>
      <w:r w:rsidR="00134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23E82">
        <w:rPr>
          <w:rFonts w:ascii="Times New Roman" w:hAnsi="Times New Roman"/>
          <w:color w:val="000000"/>
          <w:sz w:val="28"/>
          <w:szCs w:val="28"/>
        </w:rPr>
        <w:t xml:space="preserve"> – Типы линий тренда с указанием коэффициента</w:t>
      </w:r>
      <w:r>
        <w:rPr>
          <w:rFonts w:ascii="Times New Roman" w:hAnsi="Times New Roman"/>
          <w:color w:val="000000"/>
          <w:sz w:val="28"/>
          <w:szCs w:val="28"/>
        </w:rPr>
        <w:t xml:space="preserve"> детерминации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3419"/>
        <w:gridCol w:w="2760"/>
        <w:gridCol w:w="756"/>
      </w:tblGrid>
      <w:tr w:rsidR="00267ABF" w:rsidRPr="00C42DF5" w:rsidTr="006B5B7E">
        <w:trPr>
          <w:trHeight w:val="20"/>
          <w:jc w:val="center"/>
        </w:trPr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267ABF" w:rsidRPr="004247D4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п. п.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Тип тренда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247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67ABF" w:rsidRPr="00C42DF5" w:rsidTr="006B5B7E">
        <w:trPr>
          <w:trHeight w:val="20"/>
          <w:jc w:val="center"/>
        </w:trPr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Линейный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 = 10,36t</w:t>
            </w:r>
            <w:r w:rsidRPr="006C01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- 4,525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0,753</w:t>
            </w:r>
          </w:p>
        </w:tc>
      </w:tr>
      <w:tr w:rsidR="00267ABF" w:rsidRPr="00C42DF5" w:rsidTr="006B5B7E">
        <w:trPr>
          <w:trHeight w:val="20"/>
          <w:jc w:val="center"/>
        </w:trPr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Логарифмический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 = 40,26ln(t</w:t>
            </w: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 - 4,231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0,499</w:t>
            </w:r>
          </w:p>
        </w:tc>
      </w:tr>
      <w:tr w:rsidR="00267ABF" w:rsidRPr="00C42DF5" w:rsidTr="006B5B7E">
        <w:trPr>
          <w:trHeight w:val="20"/>
          <w:jc w:val="center"/>
        </w:trPr>
        <w:tc>
          <w:tcPr>
            <w:tcW w:w="0" w:type="auto"/>
            <w:vAlign w:val="center"/>
          </w:tcPr>
          <w:p w:rsidR="00267ABF" w:rsidRPr="00625FB7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F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67ABF" w:rsidRPr="00625FB7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FB7">
              <w:rPr>
                <w:rFonts w:ascii="Times New Roman" w:hAnsi="Times New Roman"/>
                <w:color w:val="000000"/>
                <w:sz w:val="24"/>
                <w:szCs w:val="24"/>
              </w:rPr>
              <w:t>Полиномиальный</w:t>
            </w:r>
            <w:proofErr w:type="gramEnd"/>
            <w:r w:rsidRPr="00625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2-ой степени</w:t>
            </w:r>
          </w:p>
        </w:tc>
        <w:tc>
          <w:tcPr>
            <w:tcW w:w="0" w:type="auto"/>
            <w:vAlign w:val="center"/>
          </w:tcPr>
          <w:p w:rsidR="00267ABF" w:rsidRPr="00625FB7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 = 1,62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6453E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- 10,69t</w:t>
            </w: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+ 44,61</w:t>
            </w:r>
          </w:p>
        </w:tc>
        <w:tc>
          <w:tcPr>
            <w:tcW w:w="0" w:type="auto"/>
            <w:vAlign w:val="center"/>
          </w:tcPr>
          <w:p w:rsidR="00267ABF" w:rsidRPr="00625FB7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0,925</w:t>
            </w:r>
          </w:p>
        </w:tc>
      </w:tr>
      <w:tr w:rsidR="00267ABF" w:rsidRPr="00C42DF5" w:rsidTr="006B5B7E">
        <w:trPr>
          <w:trHeight w:val="20"/>
          <w:jc w:val="center"/>
        </w:trPr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7D4">
              <w:rPr>
                <w:rFonts w:ascii="Times New Roman" w:hAnsi="Times New Roman"/>
                <w:color w:val="000000"/>
                <w:sz w:val="24"/>
                <w:szCs w:val="24"/>
              </w:rPr>
              <w:t>Степенной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 = 18,19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6453E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0,632</w:t>
            </w:r>
          </w:p>
        </w:tc>
        <w:tc>
          <w:tcPr>
            <w:tcW w:w="0" w:type="auto"/>
            <w:vAlign w:val="center"/>
          </w:tcPr>
          <w:p w:rsidR="00267ABF" w:rsidRPr="004247D4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0,604</w:t>
            </w:r>
          </w:p>
        </w:tc>
      </w:tr>
      <w:tr w:rsidR="00267ABF" w:rsidRPr="00C42DF5" w:rsidTr="006B5B7E">
        <w:trPr>
          <w:trHeight w:val="20"/>
          <w:jc w:val="center"/>
        </w:trPr>
        <w:tc>
          <w:tcPr>
            <w:tcW w:w="0" w:type="auto"/>
            <w:vAlign w:val="center"/>
          </w:tcPr>
          <w:p w:rsidR="00267ABF" w:rsidRPr="00DC52E9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5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67ABF" w:rsidRPr="00BF2D8A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8A">
              <w:rPr>
                <w:rFonts w:ascii="Times New Roman" w:hAnsi="Times New Roman"/>
                <w:color w:val="000000"/>
                <w:sz w:val="24"/>
                <w:szCs w:val="24"/>
              </w:rPr>
              <w:t>Экспоненциальный</w:t>
            </w:r>
          </w:p>
        </w:tc>
        <w:tc>
          <w:tcPr>
            <w:tcW w:w="0" w:type="auto"/>
            <w:vAlign w:val="center"/>
          </w:tcPr>
          <w:p w:rsidR="00267ABF" w:rsidRPr="0071793C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 = 18,86e</w:t>
            </w:r>
            <w:r w:rsidRPr="006453E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0,156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267ABF" w:rsidRPr="0071793C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0,842</w:t>
            </w:r>
          </w:p>
        </w:tc>
      </w:tr>
    </w:tbl>
    <w:p w:rsidR="00267ABF" w:rsidRPr="0022149A" w:rsidRDefault="00267ABF" w:rsidP="00540BE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149A">
        <w:rPr>
          <w:rFonts w:ascii="Times New Roman" w:hAnsi="Times New Roman"/>
          <w:color w:val="000000"/>
          <w:sz w:val="24"/>
          <w:szCs w:val="24"/>
        </w:rPr>
        <w:t xml:space="preserve">Источник: расчеты автора, произведенные в MS </w:t>
      </w:r>
      <w:proofErr w:type="spellStart"/>
      <w:r w:rsidRPr="0022149A">
        <w:rPr>
          <w:rFonts w:ascii="Times New Roman" w:hAnsi="Times New Roman"/>
          <w:color w:val="000000"/>
          <w:sz w:val="24"/>
          <w:szCs w:val="24"/>
        </w:rPr>
        <w:t>Excel</w:t>
      </w:r>
      <w:proofErr w:type="spellEnd"/>
    </w:p>
    <w:p w:rsidR="00267ABF" w:rsidRDefault="00267ABF" w:rsidP="002337A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ABF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таблицы </w:t>
      </w:r>
      <w:r w:rsidRPr="00F3639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выберем экспоненциальную линию тренда, поскольку у нее высокий коэффициент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, и надежность основного параметра полиномиального (2-й степени) тренда не подтверждается.   </w:t>
      </w:r>
    </w:p>
    <w:p w:rsidR="00267ABF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7D5E">
        <w:rPr>
          <w:rFonts w:ascii="Times New Roman" w:hAnsi="Times New Roman"/>
          <w:iCs/>
          <w:sz w:val="28"/>
          <w:szCs w:val="28"/>
        </w:rPr>
        <w:t>Ана</w:t>
      </w:r>
      <w:r>
        <w:rPr>
          <w:rFonts w:ascii="Times New Roman" w:hAnsi="Times New Roman"/>
          <w:iCs/>
          <w:sz w:val="28"/>
          <w:szCs w:val="28"/>
        </w:rPr>
        <w:t>лиз параметров экспоненциального</w:t>
      </w:r>
      <w:r w:rsidRPr="00C77D5E">
        <w:rPr>
          <w:rFonts w:ascii="Times New Roman" w:hAnsi="Times New Roman"/>
          <w:iCs/>
          <w:sz w:val="28"/>
          <w:szCs w:val="28"/>
        </w:rPr>
        <w:t xml:space="preserve"> тренда</w:t>
      </w:r>
      <w:r w:rsidRPr="00C77D5E">
        <w:rPr>
          <w:rFonts w:ascii="Times New Roman" w:hAnsi="Times New Roman"/>
          <w:sz w:val="28"/>
          <w:szCs w:val="28"/>
        </w:rPr>
        <w:t>: расчетное значение при t=0 составило</w:t>
      </w:r>
      <w:r>
        <w:rPr>
          <w:rFonts w:ascii="Times New Roman" w:hAnsi="Times New Roman"/>
          <w:sz w:val="28"/>
          <w:szCs w:val="28"/>
        </w:rPr>
        <w:t xml:space="preserve"> 16,86</w:t>
      </w:r>
      <w:r w:rsidRPr="00C77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млрд</w:t>
      </w:r>
      <w:r w:rsidRPr="00C77D5E">
        <w:rPr>
          <w:rFonts w:ascii="Times New Roman" w:hAnsi="Times New Roman"/>
          <w:sz w:val="28"/>
          <w:szCs w:val="28"/>
        </w:rPr>
        <w:t>. руб.</w:t>
      </w:r>
      <w:r w:rsidRPr="00C77D5E">
        <w:rPr>
          <w:rFonts w:ascii="Times New Roman" w:hAnsi="Times New Roman"/>
          <w:b/>
          <w:bCs/>
          <w:sz w:val="23"/>
          <w:szCs w:val="23"/>
        </w:rPr>
        <w:t xml:space="preserve">; </w:t>
      </w:r>
      <w:r w:rsidRPr="00C77D5E">
        <w:rPr>
          <w:rFonts w:ascii="Times New Roman" w:hAnsi="Times New Roman"/>
          <w:sz w:val="28"/>
          <w:szCs w:val="28"/>
        </w:rPr>
        <w:t xml:space="preserve">в среднем за </w:t>
      </w:r>
      <w:r>
        <w:rPr>
          <w:rFonts w:ascii="Times New Roman" w:hAnsi="Times New Roman"/>
          <w:sz w:val="28"/>
          <w:szCs w:val="28"/>
        </w:rPr>
        <w:t xml:space="preserve">исследуемый период прибыль увеличивалась </w:t>
      </w:r>
      <w:r w:rsidRPr="00C77D5E">
        <w:rPr>
          <w:rFonts w:ascii="Times New Roman" w:hAnsi="Times New Roman"/>
          <w:sz w:val="28"/>
          <w:szCs w:val="28"/>
        </w:rPr>
        <w:t>ежегодно на</w:t>
      </w:r>
      <w:r>
        <w:rPr>
          <w:rFonts w:ascii="Times New Roman" w:hAnsi="Times New Roman"/>
          <w:sz w:val="28"/>
          <w:szCs w:val="28"/>
        </w:rPr>
        <w:t xml:space="preserve"> 15,6%. </w:t>
      </w:r>
    </w:p>
    <w:p w:rsidR="00267ABF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Прежде, чем перейти к прогнозированию, необходимо проверить надежность основного параметра тренда.  </w:t>
      </w:r>
    </w:p>
    <w:p w:rsidR="00267ABF" w:rsidRPr="0010464C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C">
        <w:rPr>
          <w:rFonts w:ascii="Times New Roman" w:hAnsi="Times New Roman" w:cs="Times New Roman"/>
          <w:sz w:val="28"/>
          <w:szCs w:val="28"/>
        </w:rPr>
        <w:t>Надежность коэффициента роста при экспоненте (а</w:t>
      </w:r>
      <w:proofErr w:type="gramStart"/>
      <w:r w:rsidRPr="006148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0464C">
        <w:rPr>
          <w:rFonts w:ascii="Times New Roman" w:hAnsi="Times New Roman" w:cs="Times New Roman"/>
          <w:sz w:val="28"/>
          <w:szCs w:val="28"/>
        </w:rPr>
        <w:t>) проверяется с помощью методики Е.М.Четыркина.</w:t>
      </w:r>
      <w:r w:rsidRPr="006B6939">
        <w:rPr>
          <w:sz w:val="28"/>
          <w:szCs w:val="28"/>
        </w:rPr>
        <w:t xml:space="preserve"> </w:t>
      </w:r>
      <w:r w:rsidRPr="006B6939">
        <w:rPr>
          <w:rFonts w:ascii="Times New Roman" w:hAnsi="Times New Roman" w:cs="Times New Roman"/>
          <w:sz w:val="28"/>
          <w:szCs w:val="28"/>
        </w:rPr>
        <w:t>В ней проверяется отличие от нуля логарифма среднего коэффициента изменения, с учетом СКО логарифмов фактических уровней от логарифмов уровней тренда.</w:t>
      </w:r>
      <w:r w:rsidRPr="006B693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67ABF" w:rsidRDefault="00134AC5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основе проведенных расчетов можно сделать вывод о том, что п</w:t>
      </w:r>
      <w:r w:rsidR="00267ABF">
        <w:rPr>
          <w:rFonts w:ascii="Times New Roman" w:hAnsi="Times New Roman"/>
          <w:color w:val="000000"/>
          <w:sz w:val="28"/>
          <w:szCs w:val="28"/>
        </w:rPr>
        <w:t xml:space="preserve">араметр экспоненциального тренда надежен, так как расчетное значение </w:t>
      </w:r>
      <w:r w:rsidR="00267ABF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критерия Стьюдента (185,13) превышает табличное (2,2281). Следовательно, прогнозирование на основе экспоненциальной линии </w:t>
      </w:r>
      <w:proofErr w:type="gramStart"/>
      <w:r w:rsidR="00267ABF">
        <w:rPr>
          <w:rFonts w:ascii="Times New Roman" w:hAnsi="Times New Roman"/>
          <w:color w:val="000000"/>
          <w:sz w:val="28"/>
          <w:szCs w:val="28"/>
        </w:rPr>
        <w:t>тренда</w:t>
      </w:r>
      <w:proofErr w:type="gramEnd"/>
      <w:r w:rsidR="00267ABF">
        <w:rPr>
          <w:rFonts w:ascii="Times New Roman" w:hAnsi="Times New Roman"/>
          <w:color w:val="000000"/>
          <w:sz w:val="28"/>
          <w:szCs w:val="28"/>
        </w:rPr>
        <w:t xml:space="preserve"> возможно.   </w:t>
      </w:r>
    </w:p>
    <w:p w:rsidR="00267ABF" w:rsidRPr="003D7012" w:rsidRDefault="00267ABF" w:rsidP="00540B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Точечные</w:t>
      </w:r>
      <w:r w:rsidRPr="00B23E82">
        <w:rPr>
          <w:rFonts w:ascii="Times New Roman" w:eastAsia="Times New Roman" w:hAnsi="Times New Roman"/>
          <w:color w:val="000000"/>
          <w:sz w:val="28"/>
          <w:szCs w:val="28"/>
        </w:rPr>
        <w:t xml:space="preserve"> прогнозы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прибыли страховых организаций </w:t>
      </w:r>
      <w:r w:rsidRPr="00B23E82">
        <w:rPr>
          <w:rFonts w:ascii="Times New Roman" w:eastAsia="Times New Roman" w:hAnsi="Times New Roman"/>
          <w:color w:val="000000"/>
          <w:sz w:val="28"/>
          <w:szCs w:val="28"/>
        </w:rPr>
        <w:t>и верхняя и нижняя границы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рогнозов представлены в таблице</w:t>
      </w:r>
      <w:r w:rsidR="00E335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B23E8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67ABF" w:rsidRPr="00B23E82" w:rsidRDefault="00E33552" w:rsidP="00540B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</w:t>
      </w:r>
      <w:r w:rsidR="00267ABF">
        <w:rPr>
          <w:rFonts w:ascii="Times New Roman" w:eastAsia="Times New Roman" w:hAnsi="Times New Roman"/>
          <w:color w:val="000000"/>
          <w:sz w:val="28"/>
          <w:szCs w:val="28"/>
        </w:rPr>
        <w:t>4 – Прогноз прибыли страховых организаций, млрд</w:t>
      </w:r>
      <w:r w:rsidR="00267ABF" w:rsidRPr="00B23E82">
        <w:rPr>
          <w:rFonts w:ascii="Times New Roman" w:eastAsia="Times New Roman" w:hAnsi="Times New Roman"/>
          <w:color w:val="000000"/>
          <w:sz w:val="28"/>
          <w:szCs w:val="28"/>
        </w:rPr>
        <w:t>. руб.</w:t>
      </w:r>
    </w:p>
    <w:tbl>
      <w:tblPr>
        <w:tblW w:w="0" w:type="auto"/>
        <w:jc w:val="center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119"/>
        <w:gridCol w:w="2887"/>
        <w:gridCol w:w="2926"/>
      </w:tblGrid>
      <w:tr w:rsidR="00267ABF" w:rsidRPr="00C42DF5" w:rsidTr="006B5B7E">
        <w:trPr>
          <w:jc w:val="center"/>
        </w:trPr>
        <w:tc>
          <w:tcPr>
            <w:tcW w:w="0" w:type="auto"/>
            <w:vAlign w:val="center"/>
          </w:tcPr>
          <w:p w:rsidR="00267ABF" w:rsidRPr="00A7327F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2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267ABF" w:rsidRPr="00A7327F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2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прогноз</w:t>
            </w:r>
          </w:p>
        </w:tc>
        <w:tc>
          <w:tcPr>
            <w:tcW w:w="0" w:type="auto"/>
            <w:vAlign w:val="center"/>
          </w:tcPr>
          <w:p w:rsidR="00267ABF" w:rsidRPr="00A7327F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2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Нижняя граница прогноза</w:t>
            </w:r>
          </w:p>
        </w:tc>
        <w:tc>
          <w:tcPr>
            <w:tcW w:w="0" w:type="auto"/>
            <w:vAlign w:val="center"/>
          </w:tcPr>
          <w:p w:rsidR="00267ABF" w:rsidRPr="00A7327F" w:rsidRDefault="00267ABF" w:rsidP="00233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2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Верхняя граница прогноза</w:t>
            </w:r>
          </w:p>
        </w:tc>
      </w:tr>
      <w:tr w:rsidR="00267ABF" w:rsidRPr="00C42DF5" w:rsidTr="006B5B7E">
        <w:trPr>
          <w:jc w:val="center"/>
        </w:trPr>
        <w:tc>
          <w:tcPr>
            <w:tcW w:w="0" w:type="auto"/>
            <w:vAlign w:val="center"/>
          </w:tcPr>
          <w:p w:rsidR="00267ABF" w:rsidRPr="00A7327F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2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143,31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AEB">
              <w:rPr>
                <w:rFonts w:ascii="Times New Roman" w:hAnsi="Times New Roman"/>
                <w:color w:val="000000"/>
                <w:sz w:val="24"/>
                <w:szCs w:val="24"/>
              </w:rPr>
              <w:t>119,46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AEB">
              <w:rPr>
                <w:rFonts w:ascii="Times New Roman" w:hAnsi="Times New Roman"/>
                <w:color w:val="000000"/>
                <w:sz w:val="24"/>
                <w:szCs w:val="24"/>
              </w:rPr>
              <w:t>167,1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67ABF" w:rsidRPr="00C42DF5" w:rsidTr="006B5B7E">
        <w:trPr>
          <w:jc w:val="center"/>
        </w:trPr>
        <w:tc>
          <w:tcPr>
            <w:tcW w:w="0" w:type="auto"/>
            <w:vAlign w:val="center"/>
          </w:tcPr>
          <w:p w:rsidR="00267ABF" w:rsidRPr="00A7327F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2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167,51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AEB">
              <w:rPr>
                <w:rFonts w:ascii="Times New Roman" w:hAnsi="Times New Roman"/>
                <w:color w:val="000000"/>
                <w:sz w:val="24"/>
                <w:szCs w:val="24"/>
              </w:rPr>
              <w:t>140,75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AEB">
              <w:rPr>
                <w:rFonts w:ascii="Times New Roman" w:hAnsi="Times New Roman"/>
                <w:color w:val="000000"/>
                <w:sz w:val="24"/>
                <w:szCs w:val="24"/>
              </w:rPr>
              <w:t>194,2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67ABF" w:rsidRPr="00C42DF5" w:rsidTr="006B5B7E">
        <w:trPr>
          <w:jc w:val="center"/>
        </w:trPr>
        <w:tc>
          <w:tcPr>
            <w:tcW w:w="0" w:type="auto"/>
            <w:vAlign w:val="center"/>
          </w:tcPr>
          <w:p w:rsidR="00267ABF" w:rsidRPr="00A7327F" w:rsidRDefault="00267ABF" w:rsidP="002337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2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195,79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AEB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67ABF" w:rsidRPr="00095F67" w:rsidRDefault="00267ABF" w:rsidP="00233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AEB">
              <w:rPr>
                <w:rFonts w:ascii="Times New Roman" w:hAnsi="Times New Roman"/>
                <w:color w:val="000000"/>
                <w:sz w:val="24"/>
                <w:szCs w:val="24"/>
              </w:rPr>
              <w:t>225,52</w:t>
            </w:r>
          </w:p>
        </w:tc>
      </w:tr>
    </w:tbl>
    <w:p w:rsidR="00267ABF" w:rsidRPr="00A7327F" w:rsidRDefault="00267ABF" w:rsidP="00540BE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Источник: расчеты автора</w:t>
      </w:r>
      <w:r w:rsidRPr="00A7327F">
        <w:rPr>
          <w:rFonts w:ascii="Times New Roman" w:hAnsi="Times New Roman"/>
          <w:color w:val="000000"/>
          <w:sz w:val="24"/>
          <w:szCs w:val="24"/>
        </w:rPr>
        <w:t xml:space="preserve">, произведенные в MS </w:t>
      </w:r>
      <w:proofErr w:type="spellStart"/>
      <w:r w:rsidRPr="00A7327F">
        <w:rPr>
          <w:rFonts w:ascii="Times New Roman" w:hAnsi="Times New Roman"/>
          <w:color w:val="000000"/>
          <w:sz w:val="24"/>
          <w:szCs w:val="24"/>
        </w:rPr>
        <w:t>Excel</w:t>
      </w:r>
      <w:proofErr w:type="spellEnd"/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7ABF" w:rsidRDefault="00267ABF" w:rsidP="002337A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Графически результат прогноз</w:t>
      </w:r>
      <w:r w:rsidR="00E33552">
        <w:rPr>
          <w:rFonts w:ascii="Times New Roman" w:eastAsia="Times New Roman" w:hAnsi="Times New Roman"/>
          <w:color w:val="000000"/>
          <w:sz w:val="28"/>
          <w:szCs w:val="28"/>
        </w:rPr>
        <w:t xml:space="preserve">ирования отображен на рисунке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2.</w:t>
      </w:r>
    </w:p>
    <w:p w:rsidR="00267ABF" w:rsidRDefault="00267ABF" w:rsidP="002337A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7ABF" w:rsidRDefault="00267ABF" w:rsidP="00233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13BDB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286375" cy="2743200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7ABF" w:rsidRPr="00E1436A" w:rsidRDefault="00E33552" w:rsidP="002337A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E1436A">
        <w:rPr>
          <w:rFonts w:ascii="Times New Roman" w:eastAsia="Times New Roman" w:hAnsi="Times New Roman"/>
          <w:color w:val="000000"/>
          <w:sz w:val="24"/>
          <w:szCs w:val="28"/>
        </w:rPr>
        <w:t xml:space="preserve">Рисунок </w:t>
      </w:r>
      <w:r w:rsidR="00267ABF" w:rsidRPr="00E1436A">
        <w:rPr>
          <w:rFonts w:ascii="Times New Roman" w:eastAsia="Times New Roman" w:hAnsi="Times New Roman"/>
          <w:color w:val="000000"/>
          <w:sz w:val="24"/>
          <w:szCs w:val="28"/>
        </w:rPr>
        <w:t xml:space="preserve">2 – Прогноз прибыли страховых организаций, млрд. руб.  </w:t>
      </w:r>
    </w:p>
    <w:p w:rsidR="00267ABF" w:rsidRPr="00E1436A" w:rsidRDefault="00267ABF" w:rsidP="0023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E1436A">
        <w:rPr>
          <w:rFonts w:ascii="Times New Roman" w:hAnsi="Times New Roman" w:cs="Times New Roman"/>
          <w:sz w:val="24"/>
          <w:szCs w:val="32"/>
        </w:rPr>
        <w:t xml:space="preserve">Составлено автором в редакторе </w:t>
      </w:r>
      <w:r w:rsidRPr="00E1436A">
        <w:rPr>
          <w:rFonts w:ascii="Times New Roman" w:hAnsi="Times New Roman" w:cs="Times New Roman"/>
          <w:sz w:val="24"/>
          <w:szCs w:val="32"/>
          <w:lang w:val="en-US"/>
        </w:rPr>
        <w:t>MS</w:t>
      </w:r>
      <w:r w:rsidRPr="00E1436A">
        <w:rPr>
          <w:rFonts w:ascii="Times New Roman" w:hAnsi="Times New Roman" w:cs="Times New Roman"/>
          <w:sz w:val="24"/>
          <w:szCs w:val="32"/>
        </w:rPr>
        <w:t xml:space="preserve"> </w:t>
      </w:r>
      <w:r w:rsidRPr="00E1436A">
        <w:rPr>
          <w:rFonts w:ascii="Times New Roman" w:hAnsi="Times New Roman" w:cs="Times New Roman"/>
          <w:sz w:val="24"/>
          <w:szCs w:val="32"/>
          <w:lang w:val="en-US"/>
        </w:rPr>
        <w:t>Excel</w:t>
      </w:r>
    </w:p>
    <w:p w:rsidR="00267ABF" w:rsidRPr="00E1436A" w:rsidRDefault="00267ABF" w:rsidP="0023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67ABF" w:rsidRPr="00095F67" w:rsidRDefault="00267ABF" w:rsidP="00540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95F67">
        <w:rPr>
          <w:rFonts w:ascii="Times New Roman" w:eastAsia="Times New Roman" w:hAnsi="Times New Roman"/>
          <w:color w:val="000000"/>
          <w:sz w:val="28"/>
          <w:szCs w:val="28"/>
        </w:rPr>
        <w:t>По результатам прогнозирования можно сделать следующие выводы: при условии сохранения тенд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енции, с вероятностью 95% в 2017 году прибыль страховых организаций</w:t>
      </w:r>
      <w:r w:rsidRPr="00095F67">
        <w:rPr>
          <w:rFonts w:ascii="Times New Roman" w:eastAsia="Times New Roman" w:hAnsi="Times New Roman"/>
          <w:color w:val="000000"/>
          <w:sz w:val="28"/>
          <w:szCs w:val="28"/>
        </w:rPr>
        <w:t xml:space="preserve"> будет находиться в интервале от </w:t>
      </w:r>
      <w:r>
        <w:rPr>
          <w:rFonts w:ascii="Times New Roman" w:hAnsi="Times New Roman"/>
          <w:color w:val="000000"/>
          <w:sz w:val="28"/>
          <w:szCs w:val="28"/>
        </w:rPr>
        <w:t>119,46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млрд.</w:t>
      </w:r>
      <w:r w:rsidRPr="00095F67">
        <w:rPr>
          <w:rFonts w:ascii="Times New Roman" w:eastAsia="Times New Roman" w:hAnsi="Times New Roman"/>
          <w:color w:val="000000"/>
          <w:sz w:val="28"/>
          <w:szCs w:val="28"/>
        </w:rPr>
        <w:t xml:space="preserve"> руб. до </w:t>
      </w:r>
      <w:r>
        <w:rPr>
          <w:rFonts w:ascii="Times New Roman" w:hAnsi="Times New Roman"/>
          <w:color w:val="000000"/>
          <w:sz w:val="28"/>
          <w:szCs w:val="28"/>
        </w:rPr>
        <w:t>167,17</w:t>
      </w:r>
      <w:r w:rsidRPr="00095F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млрд. руб.; в 2018</w:t>
      </w:r>
      <w:r w:rsidRPr="00095F67">
        <w:rPr>
          <w:rFonts w:ascii="Times New Roman" w:eastAsia="Times New Roman" w:hAnsi="Times New Roman"/>
          <w:color w:val="000000"/>
          <w:sz w:val="28"/>
          <w:szCs w:val="28"/>
        </w:rPr>
        <w:t xml:space="preserve"> году – от </w:t>
      </w:r>
      <w:r>
        <w:rPr>
          <w:rFonts w:ascii="Times New Roman" w:hAnsi="Times New Roman"/>
          <w:color w:val="000000"/>
          <w:sz w:val="28"/>
          <w:szCs w:val="28"/>
        </w:rPr>
        <w:t>140,75</w:t>
      </w:r>
      <w:r w:rsidRPr="00095F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млрд</w:t>
      </w:r>
      <w:r w:rsidRPr="00095F67">
        <w:rPr>
          <w:rFonts w:ascii="Times New Roman" w:eastAsia="Times New Roman" w:hAnsi="Times New Roman"/>
          <w:color w:val="000000"/>
          <w:sz w:val="28"/>
          <w:szCs w:val="28"/>
        </w:rPr>
        <w:t xml:space="preserve">. руб. до </w:t>
      </w:r>
      <w:r>
        <w:rPr>
          <w:rFonts w:ascii="Times New Roman" w:hAnsi="Times New Roman"/>
          <w:color w:val="000000"/>
          <w:sz w:val="28"/>
          <w:szCs w:val="28"/>
        </w:rPr>
        <w:t>194,27</w:t>
      </w:r>
      <w:r w:rsidRPr="00095F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млрд. руб.; в 2019</w:t>
      </w:r>
      <w:r w:rsidRPr="00095F67">
        <w:rPr>
          <w:rFonts w:ascii="Times New Roman" w:eastAsia="Times New Roman" w:hAnsi="Times New Roman"/>
          <w:color w:val="000000"/>
          <w:sz w:val="28"/>
          <w:szCs w:val="28"/>
        </w:rPr>
        <w:t xml:space="preserve"> году – от </w:t>
      </w:r>
      <w:r>
        <w:rPr>
          <w:rFonts w:ascii="Times New Roman" w:hAnsi="Times New Roman"/>
          <w:color w:val="000000"/>
          <w:sz w:val="28"/>
          <w:szCs w:val="28"/>
        </w:rPr>
        <w:t>166,06</w:t>
      </w:r>
      <w:r w:rsidRPr="00095F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млрд.</w:t>
      </w:r>
      <w:r w:rsidRPr="00095F67">
        <w:rPr>
          <w:rFonts w:ascii="Times New Roman" w:eastAsia="Times New Roman" w:hAnsi="Times New Roman"/>
          <w:color w:val="000000"/>
          <w:sz w:val="28"/>
          <w:szCs w:val="28"/>
        </w:rPr>
        <w:t xml:space="preserve"> руб. до </w:t>
      </w:r>
      <w:r>
        <w:rPr>
          <w:rFonts w:ascii="Times New Roman" w:hAnsi="Times New Roman"/>
          <w:color w:val="000000"/>
          <w:sz w:val="28"/>
          <w:szCs w:val="28"/>
        </w:rPr>
        <w:t>225,52</w:t>
      </w:r>
      <w:r w:rsidRPr="00095F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млрд</w:t>
      </w:r>
      <w:r w:rsidRPr="00095F67">
        <w:rPr>
          <w:rFonts w:ascii="Times New Roman" w:eastAsia="Times New Roman" w:hAnsi="Times New Roman"/>
          <w:color w:val="000000"/>
          <w:sz w:val="28"/>
          <w:szCs w:val="28"/>
        </w:rPr>
        <w:t xml:space="preserve">. руб. </w:t>
      </w:r>
      <w:proofErr w:type="gramEnd"/>
    </w:p>
    <w:p w:rsidR="00267ABF" w:rsidRPr="00E33552" w:rsidRDefault="00267ABF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Осуществим многофакторный корреляционно-регрессионный анализ прибыли страховых организаций. </w:t>
      </w:r>
    </w:p>
    <w:p w:rsidR="00267ABF" w:rsidRPr="000117A5" w:rsidRDefault="00267ABF" w:rsidP="00540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117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Регрессионный анализ </w:t>
      </w:r>
      <w:r w:rsidRPr="000117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заключается в определении аналитического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117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выражения связи в виде уравнения регрессии. </w:t>
      </w:r>
      <w:r w:rsidRPr="000117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Регрессией называется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117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зависимость среднего значения случайной величины результативного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117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признака от величины факторного</w:t>
      </w:r>
      <w:r w:rsidRPr="0001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Pr="00011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уравнением регрессии – уравнение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11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описывающее корреляционную зависимость между результативным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11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признаком и одним или нескольким факторными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011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[</w:t>
      </w:r>
      <w:r w:rsidR="009557C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с.123</w:t>
      </w:r>
      <w:r w:rsidRPr="00011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].</w:t>
      </w:r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качестве факторов были выбраны следующие показатели:</w:t>
      </w:r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lastRenderedPageBreak/>
        <w:t>X</w:t>
      </w:r>
      <w:r w:rsidRPr="00976EBE">
        <w:rPr>
          <w:rFonts w:ascii="Times New Roman" w:hAnsi="Times New Roman" w:cs="Times New Roman"/>
          <w:sz w:val="28"/>
          <w:szCs w:val="32"/>
        </w:rPr>
        <w:t xml:space="preserve">1 – </w:t>
      </w:r>
      <w:r>
        <w:rPr>
          <w:rFonts w:ascii="Times New Roman" w:hAnsi="Times New Roman" w:cs="Times New Roman"/>
          <w:sz w:val="28"/>
          <w:szCs w:val="32"/>
        </w:rPr>
        <w:t>уровень безработицы, %;</w:t>
      </w:r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X</w:t>
      </w:r>
      <w:r w:rsidRPr="00976EBE">
        <w:rPr>
          <w:rFonts w:ascii="Times New Roman" w:hAnsi="Times New Roman" w:cs="Times New Roman"/>
          <w:sz w:val="28"/>
          <w:szCs w:val="32"/>
        </w:rPr>
        <w:t xml:space="preserve">2 – </w:t>
      </w:r>
      <w:r>
        <w:rPr>
          <w:rFonts w:ascii="Times New Roman" w:hAnsi="Times New Roman" w:cs="Times New Roman"/>
          <w:sz w:val="28"/>
          <w:szCs w:val="32"/>
        </w:rPr>
        <w:t>р</w:t>
      </w:r>
      <w:r w:rsidRPr="00402F97">
        <w:rPr>
          <w:rFonts w:ascii="Times New Roman" w:hAnsi="Times New Roman" w:cs="Times New Roman"/>
          <w:sz w:val="28"/>
          <w:szCs w:val="32"/>
        </w:rPr>
        <w:t xml:space="preserve">азмер страховой премии на душу населения (без учета обязательного медицинского страхования), </w:t>
      </w:r>
      <w:proofErr w:type="gramStart"/>
      <w:r w:rsidRPr="00402F97">
        <w:rPr>
          <w:rFonts w:ascii="Times New Roman" w:hAnsi="Times New Roman" w:cs="Times New Roman"/>
          <w:sz w:val="28"/>
          <w:szCs w:val="32"/>
        </w:rPr>
        <w:t>руб.</w:t>
      </w:r>
      <w:r>
        <w:rPr>
          <w:rFonts w:ascii="Times New Roman" w:hAnsi="Times New Roman" w:cs="Times New Roman"/>
          <w:sz w:val="28"/>
          <w:szCs w:val="32"/>
        </w:rPr>
        <w:t>;</w:t>
      </w:r>
      <w:proofErr w:type="gramEnd"/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X</w:t>
      </w:r>
      <w:r w:rsidRPr="00976EBE">
        <w:rPr>
          <w:rFonts w:ascii="Times New Roman" w:hAnsi="Times New Roman" w:cs="Times New Roman"/>
          <w:sz w:val="28"/>
          <w:szCs w:val="32"/>
        </w:rPr>
        <w:t xml:space="preserve">3 – </w:t>
      </w:r>
      <w:r>
        <w:rPr>
          <w:rFonts w:ascii="Times New Roman" w:hAnsi="Times New Roman" w:cs="Times New Roman"/>
          <w:sz w:val="28"/>
          <w:szCs w:val="32"/>
        </w:rPr>
        <w:t>к</w:t>
      </w:r>
      <w:r w:rsidRPr="00402F97">
        <w:rPr>
          <w:rFonts w:ascii="Times New Roman" w:hAnsi="Times New Roman" w:cs="Times New Roman"/>
          <w:sz w:val="28"/>
          <w:szCs w:val="32"/>
        </w:rPr>
        <w:t>апиталоотдача страховых организаций (отношение страховых премий к величине уставного капитала)</w:t>
      </w:r>
      <w:r>
        <w:rPr>
          <w:rFonts w:ascii="Times New Roman" w:hAnsi="Times New Roman" w:cs="Times New Roman"/>
          <w:sz w:val="28"/>
          <w:szCs w:val="32"/>
        </w:rPr>
        <w:t xml:space="preserve"> (без учета обязательного медицинского страхования), доли.</w:t>
      </w:r>
      <w:proofErr w:type="gramEnd"/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Получаем ко</w:t>
      </w:r>
      <w:r w:rsidR="00E33552">
        <w:rPr>
          <w:rFonts w:ascii="Times New Roman" w:hAnsi="Times New Roman"/>
          <w:sz w:val="28"/>
          <w:szCs w:val="28"/>
        </w:rPr>
        <w:t xml:space="preserve">рреляционную матрицу (таблица </w:t>
      </w:r>
      <w:r>
        <w:rPr>
          <w:rFonts w:ascii="Times New Roman" w:hAnsi="Times New Roman"/>
          <w:sz w:val="28"/>
          <w:szCs w:val="28"/>
        </w:rPr>
        <w:t xml:space="preserve">5). </w:t>
      </w:r>
    </w:p>
    <w:p w:rsidR="00267ABF" w:rsidRDefault="00E33552" w:rsidP="00540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267ABF">
        <w:rPr>
          <w:rFonts w:ascii="Times New Roman" w:hAnsi="Times New Roman"/>
          <w:sz w:val="28"/>
          <w:szCs w:val="28"/>
        </w:rPr>
        <w:t xml:space="preserve">5 – Корреляционная матрица </w:t>
      </w:r>
    </w:p>
    <w:tbl>
      <w:tblPr>
        <w:tblStyle w:val="a3"/>
        <w:tblW w:w="6603" w:type="dxa"/>
        <w:jc w:val="center"/>
        <w:tblLook w:val="04A0"/>
      </w:tblPr>
      <w:tblGrid>
        <w:gridCol w:w="1060"/>
        <w:gridCol w:w="1484"/>
        <w:gridCol w:w="1473"/>
        <w:gridCol w:w="1386"/>
        <w:gridCol w:w="1200"/>
      </w:tblGrid>
      <w:tr w:rsidR="00267ABF" w:rsidRPr="00402F97" w:rsidTr="006B5B7E">
        <w:trPr>
          <w:trHeight w:val="300"/>
          <w:jc w:val="center"/>
        </w:trPr>
        <w:tc>
          <w:tcPr>
            <w:tcW w:w="1060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</w:p>
        </w:tc>
        <w:tc>
          <w:tcPr>
            <w:tcW w:w="1473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X1</w:t>
            </w:r>
          </w:p>
        </w:tc>
        <w:tc>
          <w:tcPr>
            <w:tcW w:w="1386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X2</w:t>
            </w:r>
          </w:p>
        </w:tc>
        <w:tc>
          <w:tcPr>
            <w:tcW w:w="1200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X3</w:t>
            </w:r>
          </w:p>
        </w:tc>
      </w:tr>
      <w:tr w:rsidR="00267ABF" w:rsidRPr="00402F97" w:rsidTr="006B5B7E">
        <w:trPr>
          <w:trHeight w:val="300"/>
          <w:jc w:val="center"/>
        </w:trPr>
        <w:tc>
          <w:tcPr>
            <w:tcW w:w="1060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1484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noWrap/>
            <w:hideMark/>
          </w:tcPr>
          <w:p w:rsidR="00267ABF" w:rsidRPr="00402F97" w:rsidRDefault="00267ABF" w:rsidP="002337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267ABF" w:rsidRPr="00402F97" w:rsidRDefault="00267ABF" w:rsidP="002337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267ABF" w:rsidRPr="00402F97" w:rsidRDefault="00267ABF" w:rsidP="002337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7ABF" w:rsidRPr="00402F97" w:rsidTr="006B5B7E">
        <w:trPr>
          <w:trHeight w:val="300"/>
          <w:jc w:val="center"/>
        </w:trPr>
        <w:tc>
          <w:tcPr>
            <w:tcW w:w="1060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X1</w:t>
            </w:r>
          </w:p>
        </w:tc>
        <w:tc>
          <w:tcPr>
            <w:tcW w:w="1484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-0,593161475</w:t>
            </w:r>
          </w:p>
        </w:tc>
        <w:tc>
          <w:tcPr>
            <w:tcW w:w="1473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6" w:type="dxa"/>
            <w:noWrap/>
            <w:hideMark/>
          </w:tcPr>
          <w:p w:rsidR="00267ABF" w:rsidRPr="00402F97" w:rsidRDefault="00267ABF" w:rsidP="002337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267ABF" w:rsidRPr="00402F97" w:rsidRDefault="00267ABF" w:rsidP="002337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7ABF" w:rsidRPr="00402F97" w:rsidTr="006B5B7E">
        <w:trPr>
          <w:trHeight w:val="300"/>
          <w:jc w:val="center"/>
        </w:trPr>
        <w:tc>
          <w:tcPr>
            <w:tcW w:w="1060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X2</w:t>
            </w:r>
          </w:p>
        </w:tc>
        <w:tc>
          <w:tcPr>
            <w:tcW w:w="1484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0,901629523</w:t>
            </w:r>
          </w:p>
        </w:tc>
        <w:tc>
          <w:tcPr>
            <w:tcW w:w="1473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-0,752148366</w:t>
            </w:r>
          </w:p>
        </w:tc>
        <w:tc>
          <w:tcPr>
            <w:tcW w:w="1386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267ABF" w:rsidRPr="00402F97" w:rsidRDefault="00267ABF" w:rsidP="002337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7ABF" w:rsidRPr="00402F97" w:rsidTr="006B5B7E">
        <w:trPr>
          <w:trHeight w:val="300"/>
          <w:jc w:val="center"/>
        </w:trPr>
        <w:tc>
          <w:tcPr>
            <w:tcW w:w="1060" w:type="dxa"/>
            <w:noWrap/>
            <w:hideMark/>
          </w:tcPr>
          <w:p w:rsidR="00267ABF" w:rsidRPr="00402F97" w:rsidRDefault="00267ABF" w:rsidP="002337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X3</w:t>
            </w:r>
          </w:p>
        </w:tc>
        <w:tc>
          <w:tcPr>
            <w:tcW w:w="1484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0,917602223</w:t>
            </w:r>
          </w:p>
        </w:tc>
        <w:tc>
          <w:tcPr>
            <w:tcW w:w="1473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-0,660730781</w:t>
            </w:r>
          </w:p>
        </w:tc>
        <w:tc>
          <w:tcPr>
            <w:tcW w:w="1386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0,967791679</w:t>
            </w:r>
          </w:p>
        </w:tc>
        <w:tc>
          <w:tcPr>
            <w:tcW w:w="1200" w:type="dxa"/>
            <w:noWrap/>
            <w:hideMark/>
          </w:tcPr>
          <w:p w:rsidR="00267ABF" w:rsidRPr="00402F97" w:rsidRDefault="00267ABF" w:rsidP="002337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F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267ABF" w:rsidRPr="00A7327F" w:rsidRDefault="00267ABF" w:rsidP="00540BE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Источник: расчеты автора</w:t>
      </w:r>
      <w:r w:rsidRPr="00A7327F">
        <w:rPr>
          <w:rFonts w:ascii="Times New Roman" w:hAnsi="Times New Roman"/>
          <w:color w:val="000000"/>
          <w:sz w:val="24"/>
          <w:szCs w:val="24"/>
        </w:rPr>
        <w:t xml:space="preserve">, произведенные в MS </w:t>
      </w:r>
      <w:proofErr w:type="spellStart"/>
      <w:r w:rsidRPr="00A7327F">
        <w:rPr>
          <w:rFonts w:ascii="Times New Roman" w:hAnsi="Times New Roman"/>
          <w:color w:val="000000"/>
          <w:sz w:val="24"/>
          <w:szCs w:val="24"/>
        </w:rPr>
        <w:t>Excel</w:t>
      </w:r>
      <w:proofErr w:type="spellEnd"/>
    </w:p>
    <w:p w:rsidR="00267ABF" w:rsidRDefault="00267ABF" w:rsidP="002337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7ABF" w:rsidRDefault="00E33552" w:rsidP="00540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таблицы </w:t>
      </w:r>
      <w:r w:rsidR="00267ABF">
        <w:rPr>
          <w:rFonts w:ascii="Times New Roman" w:hAnsi="Times New Roman"/>
          <w:sz w:val="28"/>
          <w:szCs w:val="28"/>
        </w:rPr>
        <w:t xml:space="preserve">5 отмечаем, что между факторами </w:t>
      </w:r>
      <w:r w:rsidR="00267ABF">
        <w:rPr>
          <w:rFonts w:ascii="Times New Roman" w:hAnsi="Times New Roman"/>
          <w:sz w:val="28"/>
          <w:szCs w:val="28"/>
          <w:lang w:val="en-US"/>
        </w:rPr>
        <w:t>X</w:t>
      </w:r>
      <w:r w:rsidR="00267ABF" w:rsidRPr="0010087A">
        <w:rPr>
          <w:rFonts w:ascii="Times New Roman" w:hAnsi="Times New Roman"/>
          <w:sz w:val="28"/>
          <w:szCs w:val="28"/>
        </w:rPr>
        <w:t xml:space="preserve">1 </w:t>
      </w:r>
      <w:r w:rsidR="00267ABF">
        <w:rPr>
          <w:rFonts w:ascii="Times New Roman" w:hAnsi="Times New Roman"/>
          <w:sz w:val="28"/>
          <w:szCs w:val="28"/>
        </w:rPr>
        <w:t xml:space="preserve">и </w:t>
      </w:r>
      <w:r w:rsidR="00267ABF">
        <w:rPr>
          <w:rFonts w:ascii="Times New Roman" w:hAnsi="Times New Roman"/>
          <w:sz w:val="28"/>
          <w:szCs w:val="28"/>
          <w:lang w:val="en-US"/>
        </w:rPr>
        <w:t>X</w:t>
      </w:r>
      <w:r w:rsidR="00267ABF">
        <w:rPr>
          <w:rFonts w:ascii="Times New Roman" w:hAnsi="Times New Roman"/>
          <w:sz w:val="28"/>
          <w:szCs w:val="28"/>
        </w:rPr>
        <w:t xml:space="preserve">2, </w:t>
      </w:r>
      <w:r w:rsidR="00267ABF">
        <w:rPr>
          <w:rFonts w:ascii="Times New Roman" w:hAnsi="Times New Roman"/>
          <w:sz w:val="28"/>
          <w:szCs w:val="28"/>
          <w:lang w:val="en-US"/>
        </w:rPr>
        <w:t>X</w:t>
      </w:r>
      <w:r w:rsidR="00267ABF" w:rsidRPr="0010087A">
        <w:rPr>
          <w:rFonts w:ascii="Times New Roman" w:hAnsi="Times New Roman"/>
          <w:sz w:val="28"/>
          <w:szCs w:val="28"/>
        </w:rPr>
        <w:t xml:space="preserve">2 </w:t>
      </w:r>
      <w:r w:rsidR="00267ABF">
        <w:rPr>
          <w:rFonts w:ascii="Times New Roman" w:hAnsi="Times New Roman"/>
          <w:sz w:val="28"/>
          <w:szCs w:val="28"/>
        </w:rPr>
        <w:t xml:space="preserve">и </w:t>
      </w:r>
      <w:r w:rsidR="00267ABF">
        <w:rPr>
          <w:rFonts w:ascii="Times New Roman" w:hAnsi="Times New Roman"/>
          <w:sz w:val="28"/>
          <w:szCs w:val="28"/>
          <w:lang w:val="en-US"/>
        </w:rPr>
        <w:t>X</w:t>
      </w:r>
      <w:r w:rsidR="00267ABF" w:rsidRPr="0010087A">
        <w:rPr>
          <w:rFonts w:ascii="Times New Roman" w:hAnsi="Times New Roman"/>
          <w:sz w:val="28"/>
          <w:szCs w:val="28"/>
        </w:rPr>
        <w:t>3</w:t>
      </w:r>
      <w:r w:rsidR="00267ABF">
        <w:rPr>
          <w:rFonts w:ascii="Times New Roman" w:hAnsi="Times New Roman"/>
          <w:sz w:val="28"/>
          <w:szCs w:val="28"/>
        </w:rPr>
        <w:t xml:space="preserve"> наблюдается мультиколлинеарность</w:t>
      </w:r>
      <w:r w:rsidR="00267ABF" w:rsidRPr="0010087A">
        <w:rPr>
          <w:rFonts w:ascii="Times New Roman" w:hAnsi="Times New Roman"/>
          <w:sz w:val="28"/>
          <w:szCs w:val="28"/>
        </w:rPr>
        <w:t xml:space="preserve"> (</w:t>
      </w:r>
      <w:r w:rsidR="00267ABF">
        <w:rPr>
          <w:rFonts w:ascii="Times New Roman" w:hAnsi="Times New Roman"/>
          <w:sz w:val="28"/>
          <w:szCs w:val="28"/>
        </w:rPr>
        <w:t xml:space="preserve">то есть коэффициент корреляции больше 0,75). </w:t>
      </w:r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Устраняем мультиколлинеарность, исключив из модели фактор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1008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7A">
        <w:rPr>
          <w:rFonts w:ascii="Times New Roman" w:hAnsi="Times New Roman" w:cs="Times New Roman"/>
          <w:sz w:val="28"/>
          <w:szCs w:val="28"/>
        </w:rPr>
        <w:t xml:space="preserve">Далее переходим к </w:t>
      </w:r>
      <w:r w:rsidR="00E33552">
        <w:rPr>
          <w:rFonts w:ascii="Times New Roman" w:hAnsi="Times New Roman" w:cs="Times New Roman"/>
          <w:sz w:val="28"/>
          <w:szCs w:val="28"/>
        </w:rPr>
        <w:t xml:space="preserve">построению уравнения регрессии. </w:t>
      </w:r>
      <w:r>
        <w:rPr>
          <w:rFonts w:ascii="Times New Roman" w:hAnsi="Times New Roman" w:cs="Times New Roman"/>
          <w:sz w:val="28"/>
          <w:szCs w:val="28"/>
        </w:rPr>
        <w:t>Результаты регрессионного ан</w:t>
      </w:r>
      <w:r w:rsidR="00E33552">
        <w:rPr>
          <w:rFonts w:ascii="Times New Roman" w:hAnsi="Times New Roman" w:cs="Times New Roman"/>
          <w:sz w:val="28"/>
          <w:szCs w:val="28"/>
        </w:rPr>
        <w:t xml:space="preserve">ализа представлены на рисунке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267ABF" w:rsidRDefault="00267ABF" w:rsidP="00233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7ABF" w:rsidRDefault="00267ABF" w:rsidP="00233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6850" cy="2401644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35" cy="240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ABF" w:rsidRPr="00E1436A" w:rsidRDefault="00E33552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436A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267ABF" w:rsidRPr="00E1436A">
        <w:rPr>
          <w:rFonts w:ascii="Times New Roman" w:hAnsi="Times New Roman" w:cs="Times New Roman"/>
          <w:sz w:val="24"/>
          <w:szCs w:val="28"/>
        </w:rPr>
        <w:t xml:space="preserve">3 – Результаты регрессионного анализа </w:t>
      </w:r>
    </w:p>
    <w:p w:rsidR="00267ABF" w:rsidRPr="003441F8" w:rsidRDefault="00267ABF" w:rsidP="0023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E1436A">
        <w:rPr>
          <w:rFonts w:ascii="Times New Roman" w:hAnsi="Times New Roman" w:cs="Times New Roman"/>
          <w:sz w:val="24"/>
          <w:szCs w:val="32"/>
        </w:rPr>
        <w:t xml:space="preserve">Составлено автором в редакторе </w:t>
      </w:r>
      <w:r w:rsidRPr="00E1436A">
        <w:rPr>
          <w:rFonts w:ascii="Times New Roman" w:hAnsi="Times New Roman" w:cs="Times New Roman"/>
          <w:sz w:val="24"/>
          <w:szCs w:val="32"/>
          <w:lang w:val="en-US"/>
        </w:rPr>
        <w:t>MS</w:t>
      </w:r>
      <w:r w:rsidRPr="00E1436A">
        <w:rPr>
          <w:rFonts w:ascii="Times New Roman" w:hAnsi="Times New Roman" w:cs="Times New Roman"/>
          <w:sz w:val="24"/>
          <w:szCs w:val="32"/>
        </w:rPr>
        <w:t xml:space="preserve"> </w:t>
      </w:r>
      <w:r w:rsidRPr="00E1436A">
        <w:rPr>
          <w:rFonts w:ascii="Times New Roman" w:hAnsi="Times New Roman" w:cs="Times New Roman"/>
          <w:sz w:val="24"/>
          <w:szCs w:val="32"/>
          <w:lang w:val="en-US"/>
        </w:rPr>
        <w:t>Excel</w:t>
      </w:r>
    </w:p>
    <w:p w:rsidR="00E1436A" w:rsidRPr="003441F8" w:rsidRDefault="00E1436A" w:rsidP="0054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ABF" w:rsidRDefault="00E33552" w:rsidP="00540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рисунка </w:t>
      </w:r>
      <w:r w:rsidR="00267ABF" w:rsidRPr="002F2928">
        <w:rPr>
          <w:rFonts w:ascii="Times New Roman" w:hAnsi="Times New Roman" w:cs="Times New Roman"/>
          <w:sz w:val="28"/>
          <w:szCs w:val="28"/>
        </w:rPr>
        <w:t xml:space="preserve">3, </w:t>
      </w:r>
      <w:r w:rsidR="00267ABF" w:rsidRPr="002F2928">
        <w:rPr>
          <w:rFonts w:ascii="Times New Roman" w:eastAsia="Calibri" w:hAnsi="Times New Roman" w:cs="Times New Roman"/>
          <w:sz w:val="28"/>
          <w:szCs w:val="28"/>
        </w:rPr>
        <w:t xml:space="preserve">коэффициент множественной корреляции </w:t>
      </w:r>
      <w:r w:rsidR="00267ABF" w:rsidRPr="002F2928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267ABF" w:rsidRPr="002F2928">
        <w:rPr>
          <w:rFonts w:ascii="Times New Roman" w:eastAsia="Calibri" w:hAnsi="Times New Roman" w:cs="Times New Roman"/>
          <w:sz w:val="28"/>
          <w:szCs w:val="28"/>
        </w:rPr>
        <w:t xml:space="preserve">= 0,918, что говорит о прямой тесной взаимосвязи признаков в уравнении. Коэффициент детерминации </w:t>
      </w:r>
      <w:r w:rsidR="00267ABF" w:rsidRPr="002F2928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67ABF" w:rsidRPr="002F29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267ABF" w:rsidRPr="002F2928">
        <w:rPr>
          <w:rFonts w:ascii="Times New Roman" w:hAnsi="Times New Roman" w:cs="Times New Roman"/>
          <w:color w:val="000000"/>
          <w:sz w:val="28"/>
          <w:szCs w:val="28"/>
        </w:rPr>
        <w:t>=0,8423. Он показывает, что 84,23</w:t>
      </w:r>
      <w:r w:rsidR="00267ABF" w:rsidRPr="002F2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вариации </w:t>
      </w:r>
      <w:r w:rsidR="00267ABF" w:rsidRPr="002F2928">
        <w:rPr>
          <w:rFonts w:ascii="Times New Roman" w:hAnsi="Times New Roman" w:cs="Times New Roman"/>
          <w:color w:val="000000"/>
          <w:sz w:val="28"/>
          <w:szCs w:val="28"/>
        </w:rPr>
        <w:t xml:space="preserve">прибыли страховых организаций </w:t>
      </w:r>
      <w:r w:rsidR="00267ABF" w:rsidRPr="002F2928">
        <w:rPr>
          <w:rFonts w:ascii="Times New Roman" w:eastAsia="Calibri" w:hAnsi="Times New Roman" w:cs="Times New Roman"/>
          <w:bCs/>
          <w:sz w:val="28"/>
          <w:szCs w:val="28"/>
        </w:rPr>
        <w:t xml:space="preserve">обусловлено вариацией включенных в модель факторов. </w:t>
      </w:r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28">
        <w:rPr>
          <w:rFonts w:ascii="Times New Roman" w:eastAsia="Calibri" w:hAnsi="Times New Roman" w:cs="Times New Roman"/>
          <w:bCs/>
          <w:sz w:val="28"/>
          <w:szCs w:val="28"/>
        </w:rPr>
        <w:t xml:space="preserve">Значение </w:t>
      </w:r>
      <w:r w:rsidRPr="002F292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bCs/>
          <w:sz w:val="28"/>
          <w:szCs w:val="28"/>
        </w:rPr>
        <w:t>-критерия Фишера равно 24,0351</w:t>
      </w:r>
      <w:r w:rsidRPr="002F2928">
        <w:rPr>
          <w:rFonts w:ascii="Times New Roman" w:eastAsia="Calibri" w:hAnsi="Times New Roman" w:cs="Times New Roman"/>
          <w:bCs/>
          <w:sz w:val="28"/>
          <w:szCs w:val="28"/>
        </w:rPr>
        <w:t xml:space="preserve">. Значимость </w:t>
      </w:r>
      <w:r w:rsidRPr="002F292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 w:rsidRPr="002F2928">
        <w:rPr>
          <w:rFonts w:ascii="Times New Roman" w:eastAsia="Calibri" w:hAnsi="Times New Roman" w:cs="Times New Roman"/>
          <w:bCs/>
          <w:sz w:val="28"/>
          <w:szCs w:val="28"/>
        </w:rPr>
        <w:t xml:space="preserve">-критерия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(0,0002</w:t>
      </w:r>
      <w:r w:rsidRPr="002F2928">
        <w:rPr>
          <w:rFonts w:ascii="Times New Roman" w:eastAsia="Calibri" w:hAnsi="Times New Roman" w:cs="Times New Roman"/>
          <w:bCs/>
          <w:sz w:val="28"/>
          <w:szCs w:val="28"/>
        </w:rPr>
        <w:t xml:space="preserve">) показывает вероятность того, что </w:t>
      </w:r>
      <w:r w:rsidRPr="002F2928">
        <w:rPr>
          <w:rFonts w:ascii="Times New Roman" w:eastAsia="Calibri" w:hAnsi="Times New Roman" w:cs="Times New Roman"/>
          <w:sz w:val="28"/>
          <w:szCs w:val="28"/>
        </w:rPr>
        <w:t xml:space="preserve">множественный </w:t>
      </w:r>
      <w:r w:rsidRPr="002F2928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будет равен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нулю. Значимость </w:t>
      </w:r>
      <w:r w:rsidRPr="002F2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92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-критерия </w:t>
      </w:r>
      <w:r w:rsidRPr="002F2928">
        <w:rPr>
          <w:rFonts w:ascii="Times New Roman" w:eastAsia="Calibri" w:hAnsi="Times New Roman" w:cs="Times New Roman"/>
          <w:sz w:val="28"/>
          <w:szCs w:val="28"/>
        </w:rPr>
        <w:t>крайне мала (меньше 0,05), следовательно, уравнение регрессии статистически зн</w:t>
      </w:r>
      <w:r>
        <w:rPr>
          <w:rFonts w:ascii="Times New Roman" w:eastAsia="Calibri" w:hAnsi="Times New Roman" w:cs="Times New Roman"/>
          <w:sz w:val="28"/>
          <w:szCs w:val="28"/>
        </w:rPr>
        <w:t>ачимо с вероятностью 95%</w:t>
      </w:r>
      <w:r w:rsidRPr="002F2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ABF" w:rsidRDefault="00267ABF" w:rsidP="00540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7AC">
        <w:rPr>
          <w:rFonts w:ascii="Times New Roman" w:eastAsia="Calibri" w:hAnsi="Times New Roman" w:cs="Times New Roman"/>
          <w:sz w:val="28"/>
          <w:szCs w:val="28"/>
        </w:rPr>
        <w:t xml:space="preserve">Уравнение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линейной множественной </w:t>
      </w:r>
      <w:r w:rsidRPr="005127AC">
        <w:rPr>
          <w:rFonts w:ascii="Times New Roman" w:eastAsia="Calibri" w:hAnsi="Times New Roman" w:cs="Times New Roman"/>
          <w:sz w:val="28"/>
          <w:szCs w:val="28"/>
        </w:rPr>
        <w:t>регрессии примет вид</w:t>
      </w:r>
      <w:r w:rsidR="00540BED">
        <w:rPr>
          <w:rFonts w:ascii="Times New Roman" w:eastAsia="Calibri" w:hAnsi="Times New Roman"/>
          <w:sz w:val="28"/>
          <w:szCs w:val="28"/>
        </w:rPr>
        <w:t xml:space="preserve"> (</w:t>
      </w:r>
      <w:r w:rsidR="00540BED" w:rsidRPr="00540BED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)</w:t>
      </w:r>
      <w:r w:rsidRPr="005127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7ABF" w:rsidRDefault="00267ABF" w:rsidP="002337A5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267ABF" w:rsidRDefault="00267ABF" w:rsidP="002337A5">
      <w:pPr>
        <w:spacing w:after="0" w:line="240" w:lineRule="auto"/>
        <w:ind w:left="2127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08B6">
        <w:rPr>
          <w:rFonts w:ascii="Times New Roman" w:eastAsia="Calibri" w:hAnsi="Times New Roman"/>
          <w:position w:val="-10"/>
          <w:sz w:val="28"/>
          <w:szCs w:val="28"/>
        </w:rPr>
        <w:object w:dxaOrig="3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4pt;height:16.15pt" o:ole="">
            <v:imagedata r:id="rId8" o:title=""/>
          </v:shape>
          <o:OLEObject Type="Embed" ProgID="Equation.3" ShapeID="_x0000_i1025" DrawAspect="Content" ObjectID="_1599417419" r:id="rId9"/>
        </w:object>
      </w:r>
      <w:r w:rsidR="00540BED">
        <w:rPr>
          <w:rFonts w:ascii="Times New Roman" w:eastAsia="Calibri" w:hAnsi="Times New Roman"/>
          <w:sz w:val="28"/>
          <w:szCs w:val="28"/>
        </w:rPr>
        <w:tab/>
      </w:r>
      <w:r w:rsidR="00540BED">
        <w:rPr>
          <w:rFonts w:ascii="Times New Roman" w:eastAsia="Calibri" w:hAnsi="Times New Roman"/>
          <w:sz w:val="28"/>
          <w:szCs w:val="28"/>
        </w:rPr>
        <w:tab/>
      </w:r>
      <w:r w:rsidR="00540BED">
        <w:rPr>
          <w:rFonts w:ascii="Times New Roman" w:eastAsia="Calibri" w:hAnsi="Times New Roman"/>
          <w:sz w:val="28"/>
          <w:szCs w:val="28"/>
        </w:rPr>
        <w:tab/>
        <w:t>(</w:t>
      </w:r>
      <w:r w:rsidR="00540BED" w:rsidRPr="003441F8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)</w:t>
      </w:r>
    </w:p>
    <w:p w:rsidR="00267ABF" w:rsidRDefault="00267ABF" w:rsidP="002337A5">
      <w:pPr>
        <w:spacing w:after="0" w:line="240" w:lineRule="auto"/>
        <w:ind w:left="2127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67ABF" w:rsidRDefault="00687E4B" w:rsidP="00540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основе проведенного</w:t>
      </w:r>
      <w:r w:rsidR="00267ABF">
        <w:rPr>
          <w:rFonts w:ascii="Times New Roman" w:eastAsia="Calibri" w:hAnsi="Times New Roman" w:cs="Times New Roman"/>
          <w:sz w:val="28"/>
          <w:szCs w:val="28"/>
        </w:rPr>
        <w:t xml:space="preserve"> корреляционно-регрессионного анализа можно сделать следующий вывод</w:t>
      </w:r>
      <w:r w:rsidR="00267AB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: п</w:t>
      </w:r>
      <w:r w:rsidR="00267ABF">
        <w:rPr>
          <w:rFonts w:ascii="Times New Roman" w:eastAsia="Calibri" w:hAnsi="Times New Roman" w:cs="Times New Roman"/>
          <w:bCs/>
          <w:sz w:val="28"/>
          <w:szCs w:val="28"/>
        </w:rPr>
        <w:t xml:space="preserve">ри увеличении уровня безработицы на 1% прибыль страховых организаций увеличивается на 1,051 млрд. руб. При увеличении капиталоотдачи страховых организаций на 1 долю прибыль страховых организаций увеличивается на 47,979 млрд. руб. </w:t>
      </w:r>
    </w:p>
    <w:p w:rsidR="00687E4B" w:rsidRPr="000E02BD" w:rsidRDefault="00687E4B" w:rsidP="00540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Итак, одним из ключевых показателей деятельности страховых компаний является прибыль. Прибыль </w:t>
      </w:r>
      <w:r w:rsidR="007B493B">
        <w:rPr>
          <w:rFonts w:ascii="Times New Roman" w:eastAsia="Calibri" w:hAnsi="Times New Roman" w:cs="Times New Roman"/>
          <w:bCs/>
          <w:sz w:val="28"/>
          <w:szCs w:val="28"/>
        </w:rPr>
        <w:t xml:space="preserve">прибыльных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страховых компаний России за период 2005-2</w:t>
      </w:r>
      <w:r w:rsidR="007B493B">
        <w:rPr>
          <w:rFonts w:ascii="Times New Roman" w:eastAsia="Calibri" w:hAnsi="Times New Roman" w:cs="Times New Roman"/>
          <w:bCs/>
          <w:sz w:val="28"/>
          <w:szCs w:val="28"/>
        </w:rPr>
        <w:t xml:space="preserve">016 гг. имела тенденцию к росту, что нашло отражение в прогнозе показателя на 2017-2019 гг.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Также в ходе статистического анализа </w:t>
      </w:r>
      <w:r w:rsidR="007B493B">
        <w:rPr>
          <w:rFonts w:ascii="Times New Roman" w:eastAsia="Calibri" w:hAnsi="Times New Roman" w:cs="Times New Roman"/>
          <w:bCs/>
          <w:sz w:val="28"/>
          <w:szCs w:val="28"/>
        </w:rPr>
        <w:t xml:space="preserve">был обнаружена тесная связь между прибылью страховщиков и уровнем безработицы и капиталоотдачей страховых организаций. На основе данных о динамике </w:t>
      </w:r>
      <w:proofErr w:type="gramStart"/>
      <w:r w:rsidR="007B493B">
        <w:rPr>
          <w:rFonts w:ascii="Times New Roman" w:eastAsia="Calibri" w:hAnsi="Times New Roman" w:cs="Times New Roman"/>
          <w:bCs/>
          <w:sz w:val="28"/>
          <w:szCs w:val="28"/>
        </w:rPr>
        <w:t>результативного</w:t>
      </w:r>
      <w:proofErr w:type="gramEnd"/>
      <w:r w:rsidR="007B493B">
        <w:rPr>
          <w:rFonts w:ascii="Times New Roman" w:eastAsia="Calibri" w:hAnsi="Times New Roman" w:cs="Times New Roman"/>
          <w:bCs/>
          <w:sz w:val="28"/>
          <w:szCs w:val="28"/>
        </w:rPr>
        <w:t xml:space="preserve"> и факторных признаков было построено уравнение множественной регрессии и сделаны выводы о характере взаимосвязи показателей.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E97EDC" w:rsidRDefault="00065D11" w:rsidP="00364332">
      <w:pPr>
        <w:spacing w:after="0" w:line="240" w:lineRule="auto"/>
      </w:pPr>
      <w:r>
        <w:tab/>
      </w:r>
    </w:p>
    <w:p w:rsidR="00364332" w:rsidRDefault="00364332" w:rsidP="003643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en-US"/>
        </w:rPr>
      </w:pPr>
      <w:r w:rsidRPr="00364332">
        <w:rPr>
          <w:rFonts w:ascii="Times New Roman" w:hAnsi="Times New Roman" w:cs="Times New Roman"/>
          <w:b/>
          <w:sz w:val="28"/>
        </w:rPr>
        <w:t>Литература</w:t>
      </w:r>
    </w:p>
    <w:p w:rsidR="00311496" w:rsidRPr="00311496" w:rsidRDefault="00311496" w:rsidP="003643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en-US"/>
        </w:rPr>
      </w:pPr>
    </w:p>
    <w:p w:rsidR="00364332" w:rsidRPr="00311496" w:rsidRDefault="00364332" w:rsidP="0036433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496">
        <w:rPr>
          <w:rFonts w:ascii="Times New Roman" w:hAnsi="Times New Roman" w:cs="Times New Roman"/>
          <w:i/>
          <w:sz w:val="28"/>
          <w:szCs w:val="28"/>
        </w:rPr>
        <w:t xml:space="preserve">Ахвледиани, Ю.Т. Страхование: учебник для студентов вузов, обучающихся по специальностям (060400) «Финансы и кредит», (060500) «Бухгалтерский учет, анализ и аудит» / Ю.Т. Ахвледиани. – М.: ЮНИТИ-ДАНА, 2012. – 543 с. </w:t>
      </w:r>
      <w:r w:rsidRPr="00311496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311496">
        <w:rPr>
          <w:rFonts w:ascii="Times New Roman" w:hAnsi="Times New Roman" w:cs="Times New Roman"/>
          <w:i/>
          <w:sz w:val="28"/>
          <w:szCs w:val="28"/>
        </w:rPr>
        <w:t xml:space="preserve"> 5-238-01092-3</w:t>
      </w:r>
    </w:p>
    <w:p w:rsidR="00364332" w:rsidRPr="00311496" w:rsidRDefault="00364332" w:rsidP="0036433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496">
        <w:rPr>
          <w:rFonts w:ascii="Times New Roman" w:hAnsi="Times New Roman" w:cs="Times New Roman"/>
          <w:i/>
          <w:sz w:val="28"/>
          <w:szCs w:val="28"/>
        </w:rPr>
        <w:t xml:space="preserve">Закон РФ от 27.11.1992 (ред. от 26.07.2017) № 4015-1 «Об организации  страхового дела в Российской Федерации» (с </w:t>
      </w:r>
      <w:proofErr w:type="spellStart"/>
      <w:r w:rsidRPr="00311496">
        <w:rPr>
          <w:rFonts w:ascii="Times New Roman" w:hAnsi="Times New Roman" w:cs="Times New Roman"/>
          <w:i/>
          <w:sz w:val="28"/>
          <w:szCs w:val="28"/>
        </w:rPr>
        <w:t>изм</w:t>
      </w:r>
      <w:proofErr w:type="spellEnd"/>
      <w:r w:rsidRPr="00311496">
        <w:rPr>
          <w:rFonts w:ascii="Times New Roman" w:hAnsi="Times New Roman" w:cs="Times New Roman"/>
          <w:i/>
          <w:sz w:val="28"/>
          <w:szCs w:val="28"/>
        </w:rPr>
        <w:t>. и доп., вступ. в силу с 22.08.2017)</w:t>
      </w:r>
    </w:p>
    <w:p w:rsidR="00364332" w:rsidRPr="00311496" w:rsidRDefault="00364332" w:rsidP="00364332">
      <w:pPr>
        <w:pStyle w:val="a8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311496">
        <w:rPr>
          <w:rFonts w:ascii="Times New Roman" w:eastAsia="SimSun" w:hAnsi="Times New Roman"/>
          <w:bCs/>
          <w:i/>
          <w:color w:val="000000" w:themeColor="text1"/>
          <w:sz w:val="28"/>
          <w:szCs w:val="28"/>
          <w:lang w:eastAsia="zh-CN"/>
        </w:rPr>
        <w:t>Ионова</w:t>
      </w:r>
      <w:proofErr w:type="spellEnd"/>
      <w:r w:rsidRPr="00311496">
        <w:rPr>
          <w:rFonts w:ascii="Times New Roman" w:eastAsia="SimSun" w:hAnsi="Times New Roman"/>
          <w:bCs/>
          <w:i/>
          <w:color w:val="000000" w:themeColor="text1"/>
          <w:sz w:val="28"/>
          <w:szCs w:val="28"/>
          <w:lang w:eastAsia="zh-CN"/>
        </w:rPr>
        <w:t xml:space="preserve"> А.Ф., Селезнева Н.Н. Финансовый анализ: учеб. 2-е изд. – М.: Проспект, 2009. – 624 с. </w:t>
      </w:r>
      <w:r w:rsidRPr="00311496">
        <w:rPr>
          <w:rFonts w:ascii="Times New Roman" w:eastAsia="SimSun" w:hAnsi="Times New Roman"/>
          <w:bCs/>
          <w:i/>
          <w:color w:val="000000" w:themeColor="text1"/>
          <w:sz w:val="28"/>
          <w:szCs w:val="28"/>
          <w:lang w:val="en-US" w:eastAsia="zh-CN"/>
        </w:rPr>
        <w:t>ISBN</w:t>
      </w:r>
      <w:r w:rsidRPr="00311496">
        <w:rPr>
          <w:rFonts w:ascii="Times New Roman" w:eastAsia="SimSun" w:hAnsi="Times New Roman"/>
          <w:bCs/>
          <w:i/>
          <w:color w:val="000000" w:themeColor="text1"/>
          <w:sz w:val="28"/>
          <w:szCs w:val="28"/>
          <w:lang w:eastAsia="zh-CN"/>
        </w:rPr>
        <w:t xml:space="preserve"> 978-5-392-00501-7</w:t>
      </w:r>
    </w:p>
    <w:p w:rsidR="00364332" w:rsidRPr="00311496" w:rsidRDefault="00364332" w:rsidP="0036433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Официальный сайт Центрального банка Российской Федерации – Субъекты страхового дела</w:t>
      </w:r>
    </w:p>
    <w:p w:rsidR="00364332" w:rsidRPr="00311496" w:rsidRDefault="00364332" w:rsidP="003643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http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://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www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cbr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finmarket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supervision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sv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insurance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 (дата обращения: 16.02.2018)</w:t>
      </w:r>
    </w:p>
    <w:p w:rsidR="00364332" w:rsidRPr="00311496" w:rsidRDefault="00364332" w:rsidP="0036433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Официальный сайт Федеральной службы государственной статистики – Финансы </w:t>
      </w:r>
    </w:p>
    <w:p w:rsidR="00364332" w:rsidRPr="00311496" w:rsidRDefault="00364332" w:rsidP="003643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http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://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www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gks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wps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wcm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connect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rosstat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main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rosstat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statistics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finance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/# (дата обращения: 18.02.2018) </w:t>
      </w:r>
    </w:p>
    <w:p w:rsidR="00364332" w:rsidRPr="00311496" w:rsidRDefault="00364332" w:rsidP="0036433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40"/>
          <w:szCs w:val="28"/>
        </w:rPr>
      </w:pPr>
      <w:proofErr w:type="spellStart"/>
      <w:r w:rsidRPr="00311496">
        <w:rPr>
          <w:rFonts w:ascii="Times New Roman" w:hAnsi="Times New Roman" w:cs="Times New Roman"/>
          <w:bCs/>
          <w:i/>
          <w:sz w:val="28"/>
          <w:szCs w:val="24"/>
        </w:rPr>
        <w:t>Сизова</w:t>
      </w:r>
      <w:proofErr w:type="spellEnd"/>
      <w:r w:rsidRPr="00311496">
        <w:rPr>
          <w:rFonts w:ascii="Times New Roman" w:hAnsi="Times New Roman" w:cs="Times New Roman"/>
          <w:bCs/>
          <w:i/>
          <w:sz w:val="28"/>
          <w:szCs w:val="24"/>
        </w:rPr>
        <w:t xml:space="preserve">, Т.М. </w:t>
      </w:r>
      <w:r w:rsidRPr="00311496">
        <w:rPr>
          <w:rFonts w:ascii="Times New Roman" w:hAnsi="Times New Roman" w:cs="Times New Roman"/>
          <w:i/>
          <w:sz w:val="28"/>
          <w:szCs w:val="24"/>
        </w:rPr>
        <w:t xml:space="preserve">Статистика: Учебное пособие. </w:t>
      </w:r>
      <w:r w:rsidRPr="00311496">
        <w:rPr>
          <w:rFonts w:ascii="Times New Roman" w:hAnsi="Times New Roman" w:cs="Times New Roman"/>
          <w:bCs/>
          <w:i/>
          <w:sz w:val="28"/>
          <w:szCs w:val="24"/>
        </w:rPr>
        <w:t xml:space="preserve">– </w:t>
      </w:r>
      <w:r w:rsidRPr="00311496">
        <w:rPr>
          <w:rFonts w:ascii="Times New Roman" w:hAnsi="Times New Roman" w:cs="Times New Roman"/>
          <w:i/>
          <w:sz w:val="28"/>
          <w:szCs w:val="24"/>
        </w:rPr>
        <w:t xml:space="preserve">СПб.: СПб ГУИТМО, 2005. – 80 </w:t>
      </w:r>
      <w:proofErr w:type="gramStart"/>
      <w:r w:rsidRPr="00311496">
        <w:rPr>
          <w:rFonts w:ascii="Times New Roman" w:hAnsi="Times New Roman" w:cs="Times New Roman"/>
          <w:i/>
          <w:sz w:val="28"/>
          <w:szCs w:val="24"/>
        </w:rPr>
        <w:t>с</w:t>
      </w:r>
      <w:proofErr w:type="gramEnd"/>
      <w:r w:rsidRPr="00311496">
        <w:rPr>
          <w:rFonts w:ascii="Times New Roman" w:hAnsi="Times New Roman" w:cs="Times New Roman"/>
          <w:i/>
          <w:sz w:val="28"/>
          <w:szCs w:val="24"/>
        </w:rPr>
        <w:t>.</w:t>
      </w:r>
    </w:p>
    <w:p w:rsidR="00364332" w:rsidRPr="00311496" w:rsidRDefault="00364332" w:rsidP="0036433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14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Шахов, В.В. Страхование: Учебник для вузов. – М.: ЮНИТИ, 2003. – 311 с. </w:t>
      </w:r>
      <w:r w:rsidRPr="00311496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311496">
        <w:rPr>
          <w:rFonts w:ascii="Times New Roman" w:hAnsi="Times New Roman" w:cs="Times New Roman"/>
          <w:i/>
          <w:sz w:val="28"/>
          <w:szCs w:val="28"/>
        </w:rPr>
        <w:t xml:space="preserve">  5-85171-029-2</w:t>
      </w:r>
    </w:p>
    <w:p w:rsidR="00065D11" w:rsidRDefault="00364332" w:rsidP="002337A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Яковлева, Т.А., Шевченко, О.Ю. Страхование: Учеб</w:t>
      </w:r>
      <w:proofErr w:type="gram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особие / Яковлева Т.А., Шевчен</w:t>
      </w:r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  <w:t xml:space="preserve">ко О.Ю. – М: </w:t>
      </w:r>
      <w:proofErr w:type="spellStart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Экономистъ</w:t>
      </w:r>
      <w:proofErr w:type="spellEnd"/>
      <w:r w:rsidRPr="003114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2004. – 217 с. ISBN 5-98118-059-5</w:t>
      </w:r>
    </w:p>
    <w:p w:rsidR="003441F8" w:rsidRPr="002E5A87" w:rsidRDefault="003441F8" w:rsidP="002E5A87">
      <w:pPr>
        <w:pStyle w:val="a8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E5A87">
        <w:rPr>
          <w:rFonts w:ascii="Times New Roman" w:hAnsi="Times New Roman"/>
          <w:i/>
          <w:sz w:val="28"/>
          <w:szCs w:val="28"/>
        </w:rPr>
        <w:t xml:space="preserve">  Лаптева Е.В. Динамика основных показателей развития банковского сектора России // </w:t>
      </w:r>
      <w:r w:rsidRPr="002E5A87">
        <w:rPr>
          <w:rFonts w:ascii="Times New Roman" w:eastAsia="Times New Roman" w:hAnsi="Times New Roman"/>
          <w:i/>
          <w:sz w:val="28"/>
          <w:szCs w:val="28"/>
        </w:rPr>
        <w:t>В книге: </w:t>
      </w:r>
      <w:hyperlink r:id="rId10" w:history="1">
        <w:r w:rsidRPr="002E5A87">
          <w:rPr>
            <w:rFonts w:ascii="Times New Roman" w:eastAsia="Times New Roman" w:hAnsi="Times New Roman"/>
            <w:i/>
            <w:sz w:val="28"/>
            <w:szCs w:val="28"/>
          </w:rPr>
          <w:t>МОЛОДЕЖНЫЙ НАУЧНЫЙ ФОРУМ</w:t>
        </w:r>
      </w:hyperlink>
      <w:r w:rsidRPr="002E5A87">
        <w:rPr>
          <w:rFonts w:ascii="Times New Roman" w:eastAsia="Times New Roman" w:hAnsi="Times New Roman"/>
          <w:i/>
          <w:sz w:val="28"/>
          <w:szCs w:val="28"/>
        </w:rPr>
        <w:t xml:space="preserve"> сборник тезисов </w:t>
      </w:r>
      <w:proofErr w:type="gramStart"/>
      <w:r w:rsidRPr="002E5A87">
        <w:rPr>
          <w:rFonts w:ascii="Times New Roman" w:eastAsia="Times New Roman" w:hAnsi="Times New Roman"/>
          <w:i/>
          <w:sz w:val="28"/>
          <w:szCs w:val="28"/>
        </w:rPr>
        <w:t>международной</w:t>
      </w:r>
      <w:proofErr w:type="gramEnd"/>
      <w:r w:rsidRPr="002E5A87">
        <w:rPr>
          <w:rFonts w:ascii="Times New Roman" w:eastAsia="Times New Roman" w:hAnsi="Times New Roman"/>
          <w:i/>
          <w:sz w:val="28"/>
          <w:szCs w:val="28"/>
        </w:rPr>
        <w:t xml:space="preserve">, всероссийских и региональных конференций Форума. ФГБОУ ВПО «Оренбургский государственный институт менеджмента». Партнеры Форума: </w:t>
      </w:r>
      <w:proofErr w:type="spellStart"/>
      <w:proofErr w:type="gramStart"/>
      <w:r w:rsidRPr="002E5A87">
        <w:rPr>
          <w:rFonts w:ascii="Times New Roman" w:eastAsia="Times New Roman" w:hAnsi="Times New Roman"/>
          <w:i/>
          <w:sz w:val="28"/>
          <w:szCs w:val="28"/>
        </w:rPr>
        <w:t>Казахско-Китайская</w:t>
      </w:r>
      <w:proofErr w:type="spellEnd"/>
      <w:r w:rsidRPr="002E5A87">
        <w:rPr>
          <w:rFonts w:ascii="Times New Roman" w:eastAsia="Times New Roman" w:hAnsi="Times New Roman"/>
          <w:i/>
          <w:sz w:val="28"/>
          <w:szCs w:val="28"/>
        </w:rPr>
        <w:t xml:space="preserve"> академия, Торгово-промышленная палата Оренбургской области, Оренбургское региональное агентства по поддержке малого и среднего бизнеса, Оренбургский благотворительный фонда «Евразия», Регионального представительство «Евро </w:t>
      </w:r>
      <w:proofErr w:type="spellStart"/>
      <w:r w:rsidRPr="002E5A87">
        <w:rPr>
          <w:rFonts w:ascii="Times New Roman" w:eastAsia="Times New Roman" w:hAnsi="Times New Roman"/>
          <w:i/>
          <w:sz w:val="28"/>
          <w:szCs w:val="28"/>
        </w:rPr>
        <w:t>инфо</w:t>
      </w:r>
      <w:proofErr w:type="spellEnd"/>
      <w:r w:rsidRPr="002E5A87">
        <w:rPr>
          <w:rFonts w:ascii="Times New Roman" w:eastAsia="Times New Roman" w:hAnsi="Times New Roman"/>
          <w:i/>
          <w:sz w:val="28"/>
          <w:szCs w:val="28"/>
        </w:rPr>
        <w:t xml:space="preserve"> корреспондентский центр - Оренбургская область», Молодежный парламент Оренбургской области.. 2014.</w:t>
      </w:r>
      <w:proofErr w:type="gramEnd"/>
      <w:r w:rsidRPr="002E5A87">
        <w:rPr>
          <w:rFonts w:ascii="Times New Roman" w:eastAsia="Times New Roman" w:hAnsi="Times New Roman"/>
          <w:i/>
          <w:sz w:val="28"/>
          <w:szCs w:val="28"/>
        </w:rPr>
        <w:t xml:space="preserve"> - С. 112-114.</w:t>
      </w:r>
    </w:p>
    <w:p w:rsidR="003441F8" w:rsidRPr="002E5A87" w:rsidRDefault="003441F8" w:rsidP="002E5A87">
      <w:pPr>
        <w:pStyle w:val="a8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E5A87">
        <w:rPr>
          <w:rFonts w:ascii="Times New Roman" w:eastAsia="Times New Roman" w:hAnsi="Times New Roman"/>
          <w:i/>
          <w:sz w:val="28"/>
          <w:szCs w:val="28"/>
        </w:rPr>
        <w:t>Лаптева Е</w:t>
      </w:r>
      <w:proofErr w:type="gramStart"/>
      <w:r w:rsidRPr="002E5A87">
        <w:rPr>
          <w:rFonts w:ascii="Times New Roman" w:eastAsia="Times New Roman" w:hAnsi="Times New Roman"/>
          <w:i/>
          <w:sz w:val="28"/>
          <w:szCs w:val="28"/>
        </w:rPr>
        <w:t>,В</w:t>
      </w:r>
      <w:proofErr w:type="gramEnd"/>
      <w:r w:rsidRPr="002E5A87">
        <w:rPr>
          <w:rFonts w:ascii="Times New Roman" w:eastAsia="Times New Roman" w:hAnsi="Times New Roman"/>
          <w:i/>
          <w:sz w:val="28"/>
          <w:szCs w:val="28"/>
        </w:rPr>
        <w:t>. Политика и практика крупнейших банков России на рынке банковских услуг // Материалы Пятой Всероссийской научной конференции с международным участием «</w:t>
      </w:r>
      <w:hyperlink r:id="rId11" w:history="1">
        <w:r w:rsidRPr="002E5A87">
          <w:rPr>
            <w:rFonts w:ascii="Times New Roman" w:eastAsia="Times New Roman" w:hAnsi="Times New Roman"/>
            <w:i/>
            <w:sz w:val="28"/>
            <w:szCs w:val="28"/>
          </w:rPr>
          <w:t>Региональная инновационная экономика: сущность, элементы, проблемы формирования</w:t>
        </w:r>
      </w:hyperlink>
      <w:r w:rsidRPr="002E5A87">
        <w:rPr>
          <w:rFonts w:ascii="Times New Roman" w:eastAsia="Times New Roman" w:hAnsi="Times New Roman"/>
          <w:i/>
          <w:sz w:val="28"/>
          <w:szCs w:val="28"/>
        </w:rPr>
        <w:t>»,  2014. - С. 145-148.</w:t>
      </w:r>
    </w:p>
    <w:p w:rsidR="003441F8" w:rsidRPr="002E5A87" w:rsidRDefault="003441F8" w:rsidP="002E5A87">
      <w:pPr>
        <w:pStyle w:val="a8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w:r w:rsidRPr="002E5A87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Zolotova L.V., </w:t>
      </w:r>
      <w:proofErr w:type="spellStart"/>
      <w:r w:rsidRPr="002E5A87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Lapteva</w:t>
      </w:r>
      <w:proofErr w:type="spellEnd"/>
      <w:r w:rsidRPr="002E5A87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E.V., Portnova L.V.  </w:t>
      </w:r>
      <w:hyperlink r:id="rId12" w:history="1">
        <w:r w:rsidRPr="002E5A87">
          <w:rPr>
            <w:rFonts w:ascii="Times New Roman" w:eastAsia="Times New Roman" w:hAnsi="Times New Roman"/>
            <w:bCs/>
            <w:i/>
            <w:sz w:val="28"/>
            <w:szCs w:val="28"/>
            <w:lang w:val="en-US"/>
          </w:rPr>
          <w:t xml:space="preserve">Assessment of influence the level of personal savings on the dynamics of banking sector indices  </w:t>
        </w:r>
      </w:hyperlink>
      <w:r w:rsidRPr="002E5A87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// </w:t>
      </w:r>
      <w:hyperlink r:id="rId13" w:history="1">
        <w:r w:rsidRPr="002E5A87">
          <w:rPr>
            <w:rFonts w:ascii="Times New Roman" w:eastAsia="Times New Roman" w:hAnsi="Times New Roman"/>
            <w:i/>
            <w:sz w:val="28"/>
            <w:szCs w:val="28"/>
            <w:lang w:val="en-US"/>
          </w:rPr>
          <w:t>European science and Technology</w:t>
        </w:r>
      </w:hyperlink>
      <w:r w:rsidRPr="002E5A87">
        <w:rPr>
          <w:rFonts w:ascii="Times New Roman" w:eastAsia="Times New Roman" w:hAnsi="Times New Roman"/>
          <w:i/>
          <w:sz w:val="28"/>
          <w:szCs w:val="28"/>
          <w:lang w:val="en-US"/>
        </w:rPr>
        <w:t> Materials of the X interactional research and practice conference. 2015</w:t>
      </w:r>
      <w:proofErr w:type="gramStart"/>
      <w:r w:rsidRPr="002E5A87">
        <w:rPr>
          <w:rFonts w:ascii="Times New Roman" w:eastAsia="Times New Roman" w:hAnsi="Times New Roman"/>
          <w:i/>
          <w:sz w:val="28"/>
          <w:szCs w:val="28"/>
          <w:lang w:val="en-US"/>
        </w:rPr>
        <w:t>.-</w:t>
      </w:r>
      <w:proofErr w:type="gramEnd"/>
      <w:r w:rsidRPr="002E5A87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 </w:t>
      </w:r>
      <w:r w:rsidRPr="002E5A87">
        <w:rPr>
          <w:rFonts w:ascii="Times New Roman" w:eastAsia="Times New Roman" w:hAnsi="Times New Roman"/>
          <w:i/>
          <w:sz w:val="28"/>
          <w:szCs w:val="28"/>
        </w:rPr>
        <w:t>С</w:t>
      </w:r>
      <w:r w:rsidRPr="002E5A87">
        <w:rPr>
          <w:rFonts w:ascii="Times New Roman" w:eastAsia="Times New Roman" w:hAnsi="Times New Roman"/>
          <w:i/>
          <w:sz w:val="28"/>
          <w:szCs w:val="28"/>
          <w:lang w:val="en-US"/>
        </w:rPr>
        <w:t>. 234-243.</w:t>
      </w:r>
    </w:p>
    <w:p w:rsidR="003441F8" w:rsidRPr="002E5A87" w:rsidRDefault="003441F8" w:rsidP="002E5A87">
      <w:pPr>
        <w:pStyle w:val="a8"/>
        <w:numPr>
          <w:ilvl w:val="0"/>
          <w:numId w:val="4"/>
        </w:numPr>
        <w:tabs>
          <w:tab w:val="left" w:pos="567"/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shd w:val="clear" w:color="auto" w:fill="F5F5F5"/>
          <w:lang w:val="en-US"/>
        </w:rPr>
      </w:pPr>
      <w:r w:rsidRPr="002E5A87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  </w:t>
      </w:r>
      <w:proofErr w:type="spellStart"/>
      <w:r w:rsidRPr="002E5A87">
        <w:rPr>
          <w:rFonts w:ascii="Times New Roman" w:hAnsi="Times New Roman"/>
          <w:i/>
          <w:iCs/>
          <w:sz w:val="28"/>
          <w:szCs w:val="28"/>
          <w:shd w:val="clear" w:color="auto" w:fill="F5F5F5"/>
          <w:lang w:val="en-US"/>
        </w:rPr>
        <w:t>Lapteva</w:t>
      </w:r>
      <w:proofErr w:type="spellEnd"/>
      <w:r w:rsidRPr="002E5A87">
        <w:rPr>
          <w:rFonts w:ascii="Times New Roman" w:hAnsi="Times New Roman"/>
          <w:i/>
          <w:iCs/>
          <w:sz w:val="28"/>
          <w:szCs w:val="28"/>
          <w:shd w:val="clear" w:color="auto" w:fill="F5F5F5"/>
          <w:lang w:val="en-US"/>
        </w:rPr>
        <w:t xml:space="preserve"> E.V., </w:t>
      </w:r>
      <w:proofErr w:type="spellStart"/>
      <w:r w:rsidRPr="002E5A87">
        <w:rPr>
          <w:rFonts w:ascii="Times New Roman" w:hAnsi="Times New Roman"/>
          <w:i/>
          <w:iCs/>
          <w:sz w:val="28"/>
          <w:szCs w:val="28"/>
          <w:shd w:val="clear" w:color="auto" w:fill="F5F5F5"/>
          <w:lang w:val="en-US"/>
        </w:rPr>
        <w:t>Ananyev</w:t>
      </w:r>
      <w:proofErr w:type="spellEnd"/>
      <w:r w:rsidRPr="002E5A87">
        <w:rPr>
          <w:rFonts w:ascii="Times New Roman" w:hAnsi="Times New Roman"/>
          <w:i/>
          <w:iCs/>
          <w:sz w:val="28"/>
          <w:szCs w:val="28"/>
          <w:shd w:val="clear" w:color="auto" w:fill="F5F5F5"/>
          <w:lang w:val="en-US"/>
        </w:rPr>
        <w:t xml:space="preserve"> D.N. Statistical examination of banking system state in Russia: tendencies and projected growth // </w:t>
      </w:r>
      <w:hyperlink r:id="rId14" w:history="1">
        <w:r w:rsidRPr="002E5A87">
          <w:rPr>
            <w:rStyle w:val="a9"/>
            <w:rFonts w:ascii="Times New Roman" w:hAnsi="Times New Roman"/>
            <w:i/>
            <w:sz w:val="28"/>
            <w:szCs w:val="28"/>
            <w:shd w:val="clear" w:color="auto" w:fill="F5F5F5"/>
            <w:lang w:val="en-US"/>
          </w:rPr>
          <w:t>Global Science and Innovation</w:t>
        </w:r>
      </w:hyperlink>
      <w:r w:rsidRPr="002E5A87">
        <w:rPr>
          <w:rFonts w:ascii="Times New Roman" w:hAnsi="Times New Roman"/>
          <w:i/>
          <w:sz w:val="28"/>
          <w:szCs w:val="28"/>
          <w:shd w:val="clear" w:color="auto" w:fill="F5F5F5"/>
          <w:lang w:val="en-US"/>
        </w:rPr>
        <w:t xml:space="preserve"> materials of </w:t>
      </w:r>
      <w:proofErr w:type="gramStart"/>
      <w:r w:rsidRPr="002E5A87">
        <w:rPr>
          <w:rFonts w:ascii="Times New Roman" w:hAnsi="Times New Roman"/>
          <w:i/>
          <w:sz w:val="28"/>
          <w:szCs w:val="28"/>
          <w:shd w:val="clear" w:color="auto" w:fill="F5F5F5"/>
          <w:lang w:val="en-US"/>
        </w:rPr>
        <w:t>the I</w:t>
      </w:r>
      <w:proofErr w:type="gramEnd"/>
      <w:r w:rsidRPr="002E5A87">
        <w:rPr>
          <w:rFonts w:ascii="Times New Roman" w:hAnsi="Times New Roman"/>
          <w:i/>
          <w:sz w:val="28"/>
          <w:szCs w:val="28"/>
          <w:shd w:val="clear" w:color="auto" w:fill="F5F5F5"/>
          <w:lang w:val="en-US"/>
        </w:rPr>
        <w:t xml:space="preserve"> International Conference. 2013. </w:t>
      </w:r>
      <w:r w:rsidRPr="002E5A87">
        <w:rPr>
          <w:rFonts w:ascii="Times New Roman" w:hAnsi="Times New Roman"/>
          <w:i/>
          <w:sz w:val="28"/>
          <w:szCs w:val="28"/>
          <w:shd w:val="clear" w:color="auto" w:fill="F5F5F5"/>
        </w:rPr>
        <w:t>С</w:t>
      </w:r>
      <w:r w:rsidRPr="002E5A87">
        <w:rPr>
          <w:rFonts w:ascii="Times New Roman" w:hAnsi="Times New Roman"/>
          <w:i/>
          <w:sz w:val="28"/>
          <w:szCs w:val="28"/>
          <w:shd w:val="clear" w:color="auto" w:fill="F5F5F5"/>
          <w:lang w:val="en-US"/>
        </w:rPr>
        <w:t>. 139-147.</w:t>
      </w:r>
    </w:p>
    <w:p w:rsidR="003441F8" w:rsidRPr="00133663" w:rsidRDefault="003441F8" w:rsidP="003441F8">
      <w:pPr>
        <w:pStyle w:val="a8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5F5F5"/>
          <w:lang w:val="en-US"/>
        </w:rPr>
      </w:pPr>
    </w:p>
    <w:p w:rsidR="002E5A87" w:rsidRPr="003441F8" w:rsidRDefault="002E5A87" w:rsidP="003441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2E5A87" w:rsidRPr="003441F8" w:rsidSect="00540B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074"/>
    <w:multiLevelType w:val="hybridMultilevel"/>
    <w:tmpl w:val="022CAD2E"/>
    <w:lvl w:ilvl="0" w:tplc="A1A23BD0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0335"/>
    <w:multiLevelType w:val="hybridMultilevel"/>
    <w:tmpl w:val="E4FC18D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405F"/>
    <w:multiLevelType w:val="hybridMultilevel"/>
    <w:tmpl w:val="3268230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30EC"/>
    <w:multiLevelType w:val="hybridMultilevel"/>
    <w:tmpl w:val="6A1E76F4"/>
    <w:lvl w:ilvl="0" w:tplc="EB7462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6EC3"/>
    <w:multiLevelType w:val="hybridMultilevel"/>
    <w:tmpl w:val="A3B6FCEE"/>
    <w:lvl w:ilvl="0" w:tplc="D4F0B776">
      <w:start w:val="1"/>
      <w:numFmt w:val="decimal"/>
      <w:lvlText w:val="%1."/>
      <w:lvlJc w:val="left"/>
      <w:pPr>
        <w:ind w:left="639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112" w:hanging="360"/>
      </w:pPr>
    </w:lvl>
    <w:lvl w:ilvl="2" w:tplc="0419001B" w:tentative="1">
      <w:start w:val="1"/>
      <w:numFmt w:val="lowerRoman"/>
      <w:lvlText w:val="%3."/>
      <w:lvlJc w:val="right"/>
      <w:pPr>
        <w:ind w:left="7832" w:hanging="180"/>
      </w:pPr>
    </w:lvl>
    <w:lvl w:ilvl="3" w:tplc="0419000F" w:tentative="1">
      <w:start w:val="1"/>
      <w:numFmt w:val="decimal"/>
      <w:lvlText w:val="%4."/>
      <w:lvlJc w:val="left"/>
      <w:pPr>
        <w:ind w:left="8552" w:hanging="360"/>
      </w:pPr>
    </w:lvl>
    <w:lvl w:ilvl="4" w:tplc="04190019" w:tentative="1">
      <w:start w:val="1"/>
      <w:numFmt w:val="lowerLetter"/>
      <w:lvlText w:val="%5."/>
      <w:lvlJc w:val="left"/>
      <w:pPr>
        <w:ind w:left="9272" w:hanging="360"/>
      </w:pPr>
    </w:lvl>
    <w:lvl w:ilvl="5" w:tplc="0419001B" w:tentative="1">
      <w:start w:val="1"/>
      <w:numFmt w:val="lowerRoman"/>
      <w:lvlText w:val="%6."/>
      <w:lvlJc w:val="right"/>
      <w:pPr>
        <w:ind w:left="9992" w:hanging="180"/>
      </w:pPr>
    </w:lvl>
    <w:lvl w:ilvl="6" w:tplc="0419000F" w:tentative="1">
      <w:start w:val="1"/>
      <w:numFmt w:val="decimal"/>
      <w:lvlText w:val="%7."/>
      <w:lvlJc w:val="left"/>
      <w:pPr>
        <w:ind w:left="10712" w:hanging="360"/>
      </w:pPr>
    </w:lvl>
    <w:lvl w:ilvl="7" w:tplc="04190019" w:tentative="1">
      <w:start w:val="1"/>
      <w:numFmt w:val="lowerLetter"/>
      <w:lvlText w:val="%8."/>
      <w:lvlJc w:val="left"/>
      <w:pPr>
        <w:ind w:left="11432" w:hanging="360"/>
      </w:pPr>
    </w:lvl>
    <w:lvl w:ilvl="8" w:tplc="0419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5">
    <w:nsid w:val="7CD138BF"/>
    <w:multiLevelType w:val="hybridMultilevel"/>
    <w:tmpl w:val="E6F01B62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A4A02"/>
    <w:multiLevelType w:val="hybridMultilevel"/>
    <w:tmpl w:val="7004BF52"/>
    <w:lvl w:ilvl="0" w:tplc="70B8E71A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>
    <w:useFELayout/>
  </w:compat>
  <w:rsids>
    <w:rsidRoot w:val="00267ABF"/>
    <w:rsid w:val="00065D11"/>
    <w:rsid w:val="00134AC5"/>
    <w:rsid w:val="001B6FA6"/>
    <w:rsid w:val="002337A5"/>
    <w:rsid w:val="00267ABF"/>
    <w:rsid w:val="002E5A87"/>
    <w:rsid w:val="00311496"/>
    <w:rsid w:val="003441F8"/>
    <w:rsid w:val="00364332"/>
    <w:rsid w:val="003A6BE7"/>
    <w:rsid w:val="00540BED"/>
    <w:rsid w:val="00614887"/>
    <w:rsid w:val="00687E4B"/>
    <w:rsid w:val="0071136B"/>
    <w:rsid w:val="007B493B"/>
    <w:rsid w:val="007E0BD5"/>
    <w:rsid w:val="009557CC"/>
    <w:rsid w:val="00974024"/>
    <w:rsid w:val="009E7CD5"/>
    <w:rsid w:val="00CE697A"/>
    <w:rsid w:val="00E1436A"/>
    <w:rsid w:val="00E33552"/>
    <w:rsid w:val="00E97EDC"/>
    <w:rsid w:val="00EE31EF"/>
    <w:rsid w:val="00FC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67A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67AB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A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5D11"/>
    <w:pPr>
      <w:ind w:left="720"/>
      <w:contextualSpacing/>
    </w:pPr>
  </w:style>
  <w:style w:type="character" w:styleId="a9">
    <w:name w:val="Hyperlink"/>
    <w:uiPriority w:val="99"/>
    <w:unhideWhenUsed/>
    <w:rsid w:val="00344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library.ru/item.asp?id=253512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library.ru/item.asp?id=253776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elibrary.ru/item.asp?id=25367378" TargetMode="Externa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hyperlink" Target="https://elibrary.ru/item.asp?id=2328901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library.ru/item.asp?id=2172105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72;&#1090;&#1103;\Desktop\&#1050;&#1085;&#1080;&#1075;&#1072;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72;&#1090;&#1103;\Desktop\&#1042;&#1050;&#10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lineChart>
        <c:grouping val="standard"/>
        <c:ser>
          <c:idx val="0"/>
          <c:order val="0"/>
          <c:cat>
            <c:strRef>
              <c:f>Лист5!$A$6:$A$17</c:f>
              <c:strCache>
                <c:ptCount val="12"/>
                <c:pt idx="0">
                  <c:v>2005 г.</c:v>
                </c:pt>
                <c:pt idx="1">
                  <c:v>2006 г.</c:v>
                </c:pt>
                <c:pt idx="2">
                  <c:v>2007 г.</c:v>
                </c:pt>
                <c:pt idx="3">
                  <c:v>2008 г.</c:v>
                </c:pt>
                <c:pt idx="4">
                  <c:v>2009 г.</c:v>
                </c:pt>
                <c:pt idx="5">
                  <c:v>2010 г.</c:v>
                </c:pt>
                <c:pt idx="6">
                  <c:v>2011 г.</c:v>
                </c:pt>
                <c:pt idx="7">
                  <c:v>2012 г.</c:v>
                </c:pt>
                <c:pt idx="8">
                  <c:v>2013 г.</c:v>
                </c:pt>
                <c:pt idx="9">
                  <c:v>2014 г.</c:v>
                </c:pt>
                <c:pt idx="10">
                  <c:v>2015 г.</c:v>
                </c:pt>
                <c:pt idx="11">
                  <c:v>2016 г.</c:v>
                </c:pt>
              </c:strCache>
            </c:strRef>
          </c:cat>
          <c:val>
            <c:numRef>
              <c:f>Лист5!$C$6:$C$17</c:f>
              <c:numCache>
                <c:formatCode>General</c:formatCode>
                <c:ptCount val="12"/>
                <c:pt idx="0">
                  <c:v>29.7</c:v>
                </c:pt>
                <c:pt idx="1">
                  <c:v>34.5</c:v>
                </c:pt>
                <c:pt idx="2">
                  <c:v>29.3</c:v>
                </c:pt>
                <c:pt idx="3">
                  <c:v>23.5</c:v>
                </c:pt>
                <c:pt idx="4">
                  <c:v>36.4</c:v>
                </c:pt>
                <c:pt idx="5">
                  <c:v>42.1</c:v>
                </c:pt>
                <c:pt idx="6">
                  <c:v>45.2</c:v>
                </c:pt>
                <c:pt idx="7">
                  <c:v>80.7</c:v>
                </c:pt>
                <c:pt idx="8">
                  <c:v>61.4</c:v>
                </c:pt>
                <c:pt idx="9">
                  <c:v>79.8</c:v>
                </c:pt>
                <c:pt idx="10">
                  <c:v>141.69999999999999</c:v>
                </c:pt>
                <c:pt idx="11">
                  <c:v>149.69999999999999</c:v>
                </c:pt>
              </c:numCache>
            </c:numRef>
          </c:val>
        </c:ser>
        <c:marker val="1"/>
        <c:axId val="88099072"/>
        <c:axId val="88113152"/>
      </c:lineChart>
      <c:catAx>
        <c:axId val="88099072"/>
        <c:scaling>
          <c:orientation val="minMax"/>
        </c:scaling>
        <c:axPos val="b"/>
        <c:tickLblPos val="nextTo"/>
        <c:crossAx val="88113152"/>
        <c:crosses val="autoZero"/>
        <c:auto val="1"/>
        <c:lblAlgn val="ctr"/>
        <c:lblOffset val="100"/>
      </c:catAx>
      <c:valAx>
        <c:axId val="88113152"/>
        <c:scaling>
          <c:orientation val="minMax"/>
        </c:scaling>
        <c:axPos val="l"/>
        <c:majorGridlines/>
        <c:numFmt formatCode="General" sourceLinked="1"/>
        <c:tickLblPos val="nextTo"/>
        <c:crossAx val="8809907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Лист12!$B$1</c:f>
              <c:strCache>
                <c:ptCount val="1"/>
                <c:pt idx="0">
                  <c:v>Прибыль страховых организаций, млрд. руб. </c:v>
                </c:pt>
              </c:strCache>
            </c:strRef>
          </c:tx>
          <c:marker>
            <c:symbol val="none"/>
          </c:marker>
          <c:cat>
            <c:strRef>
              <c:f>Лист12!$A$2:$A$16</c:f>
              <c:strCache>
                <c:ptCount val="15"/>
                <c:pt idx="0">
                  <c:v>2005 г.</c:v>
                </c:pt>
                <c:pt idx="1">
                  <c:v>2006 г.</c:v>
                </c:pt>
                <c:pt idx="2">
                  <c:v>2007 г.</c:v>
                </c:pt>
                <c:pt idx="3">
                  <c:v>2008 г.</c:v>
                </c:pt>
                <c:pt idx="4">
                  <c:v>2009 г.</c:v>
                </c:pt>
                <c:pt idx="5">
                  <c:v>2010 г.</c:v>
                </c:pt>
                <c:pt idx="6">
                  <c:v>2011 г.</c:v>
                </c:pt>
                <c:pt idx="7">
                  <c:v>2012 г.</c:v>
                </c:pt>
                <c:pt idx="8">
                  <c:v>2013 г.</c:v>
                </c:pt>
                <c:pt idx="9">
                  <c:v>2014 г.</c:v>
                </c:pt>
                <c:pt idx="10">
                  <c:v>2015 г.</c:v>
                </c:pt>
                <c:pt idx="11">
                  <c:v>2016 г.</c:v>
                </c:pt>
                <c:pt idx="12">
                  <c:v>2017 г.</c:v>
                </c:pt>
                <c:pt idx="13">
                  <c:v>2018 г.</c:v>
                </c:pt>
                <c:pt idx="14">
                  <c:v>2019 г.</c:v>
                </c:pt>
              </c:strCache>
            </c:strRef>
          </c:cat>
          <c:val>
            <c:numRef>
              <c:f>Лист12!$B$2:$B$16</c:f>
              <c:numCache>
                <c:formatCode>General</c:formatCode>
                <c:ptCount val="15"/>
                <c:pt idx="0">
                  <c:v>29.7</c:v>
                </c:pt>
                <c:pt idx="1">
                  <c:v>34.5</c:v>
                </c:pt>
                <c:pt idx="2">
                  <c:v>29.3</c:v>
                </c:pt>
                <c:pt idx="3">
                  <c:v>23.5</c:v>
                </c:pt>
                <c:pt idx="4">
                  <c:v>36.4</c:v>
                </c:pt>
                <c:pt idx="5">
                  <c:v>42.1</c:v>
                </c:pt>
                <c:pt idx="6">
                  <c:v>45.2</c:v>
                </c:pt>
                <c:pt idx="7">
                  <c:v>80.7</c:v>
                </c:pt>
                <c:pt idx="8">
                  <c:v>61.4</c:v>
                </c:pt>
                <c:pt idx="9">
                  <c:v>79.8</c:v>
                </c:pt>
                <c:pt idx="10">
                  <c:v>141.69999999999999</c:v>
                </c:pt>
                <c:pt idx="11">
                  <c:v>149.69999999999999</c:v>
                </c:pt>
                <c:pt idx="12" formatCode="0.00">
                  <c:v>143.31475240110012</c:v>
                </c:pt>
                <c:pt idx="13" formatCode="0.00">
                  <c:v>167.51003789574341</c:v>
                </c:pt>
                <c:pt idx="14" formatCode="0.00">
                  <c:v>195.79012157312158</c:v>
                </c:pt>
              </c:numCache>
            </c:numRef>
          </c:val>
        </c:ser>
        <c:ser>
          <c:idx val="1"/>
          <c:order val="1"/>
          <c:tx>
            <c:v>Верхняя граница прогноза</c:v>
          </c:tx>
          <c:marker>
            <c:symbol val="none"/>
          </c:marker>
          <c:val>
            <c:numRef>
              <c:f>Лист12!$C$2:$C$16</c:f>
              <c:numCache>
                <c:formatCode>General</c:formatCode>
                <c:ptCount val="15"/>
                <c:pt idx="11">
                  <c:v>149.69999999999999</c:v>
                </c:pt>
                <c:pt idx="12" formatCode="0.00">
                  <c:v>167.16719641559669</c:v>
                </c:pt>
                <c:pt idx="13" formatCode="0.00">
                  <c:v>194.26798917727299</c:v>
                </c:pt>
                <c:pt idx="14" formatCode="0.00">
                  <c:v>225.52299579883172</c:v>
                </c:pt>
              </c:numCache>
            </c:numRef>
          </c:val>
        </c:ser>
        <c:ser>
          <c:idx val="2"/>
          <c:order val="2"/>
          <c:tx>
            <c:v>Нижняя граница прогноза</c:v>
          </c:tx>
          <c:marker>
            <c:symbol val="none"/>
          </c:marker>
          <c:val>
            <c:numRef>
              <c:f>Лист12!$D$2:$D$16</c:f>
              <c:numCache>
                <c:formatCode>General</c:formatCode>
                <c:ptCount val="15"/>
                <c:pt idx="11">
                  <c:v>149.69999999999999</c:v>
                </c:pt>
                <c:pt idx="12" formatCode="0.00">
                  <c:v>119.46230838660574</c:v>
                </c:pt>
                <c:pt idx="13" formatCode="0.00">
                  <c:v>140.75208661421451</c:v>
                </c:pt>
                <c:pt idx="14" formatCode="0.00">
                  <c:v>166.05724734741241</c:v>
                </c:pt>
              </c:numCache>
            </c:numRef>
          </c:val>
        </c:ser>
        <c:marker val="1"/>
        <c:axId val="88180224"/>
        <c:axId val="88181760"/>
      </c:lineChart>
      <c:catAx>
        <c:axId val="88180224"/>
        <c:scaling>
          <c:orientation val="minMax"/>
        </c:scaling>
        <c:axPos val="b"/>
        <c:tickLblPos val="nextTo"/>
        <c:crossAx val="88181760"/>
        <c:crosses val="autoZero"/>
        <c:auto val="1"/>
        <c:lblAlgn val="ctr"/>
        <c:lblOffset val="100"/>
      </c:catAx>
      <c:valAx>
        <c:axId val="88181760"/>
        <c:scaling>
          <c:orientation val="minMax"/>
        </c:scaling>
        <c:axPos val="l"/>
        <c:majorGridlines/>
        <c:numFmt formatCode="General" sourceLinked="1"/>
        <c:tickLblPos val="nextTo"/>
        <c:crossAx val="88180224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ФиК</cp:lastModifiedBy>
  <cp:revision>3</cp:revision>
  <dcterms:created xsi:type="dcterms:W3CDTF">2018-02-28T04:58:00Z</dcterms:created>
  <dcterms:modified xsi:type="dcterms:W3CDTF">2018-09-25T15:51:00Z</dcterms:modified>
</cp:coreProperties>
</file>