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9B" w:rsidRPr="00147DCE" w:rsidRDefault="0084719B" w:rsidP="0084719B">
      <w:pPr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УДК 31</w:t>
      </w:r>
    </w:p>
    <w:p w:rsidR="00901FC7" w:rsidRPr="00147DCE" w:rsidRDefault="00901FC7" w:rsidP="00901FC7">
      <w:pPr>
        <w:spacing w:line="240" w:lineRule="auto"/>
        <w:ind w:right="283" w:hanging="284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Бабаина М.С.</w:t>
      </w:r>
    </w:p>
    <w:p w:rsidR="00901FC7" w:rsidRPr="00147DCE" w:rsidRDefault="00901FC7" w:rsidP="00901FC7">
      <w:pPr>
        <w:spacing w:line="240" w:lineRule="auto"/>
        <w:ind w:right="283" w:hanging="284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color w:val="000000"/>
          <w:sz w:val="28"/>
          <w:szCs w:val="28"/>
        </w:rPr>
        <w:t>студент</w:t>
      </w:r>
    </w:p>
    <w:p w:rsidR="00901FC7" w:rsidRPr="00147DCE" w:rsidRDefault="00901FC7" w:rsidP="00901FC7">
      <w:pPr>
        <w:spacing w:line="240" w:lineRule="auto"/>
        <w:ind w:right="283" w:hanging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 курс, направление «Экономика»</w:t>
      </w:r>
    </w:p>
    <w:p w:rsidR="00901FC7" w:rsidRPr="00147DCE" w:rsidRDefault="00901FC7" w:rsidP="00901FC7">
      <w:pPr>
        <w:widowControl w:val="0"/>
        <w:suppressAutoHyphens/>
        <w:spacing w:line="240" w:lineRule="auto"/>
        <w:ind w:right="283" w:firstLine="567"/>
        <w:contextualSpacing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Оренбургский филиал «РЭУ им. Г.В. Плеханова»</w:t>
      </w:r>
    </w:p>
    <w:p w:rsidR="00901FC7" w:rsidRPr="00147DCE" w:rsidRDefault="00901FC7" w:rsidP="00901FC7">
      <w:pPr>
        <w:widowControl w:val="0"/>
        <w:suppressAutoHyphens/>
        <w:spacing w:line="240" w:lineRule="auto"/>
        <w:ind w:right="283" w:firstLine="567"/>
        <w:contextualSpacing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47D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Россия, </w:t>
      </w:r>
      <w:proofErr w:type="gramStart"/>
      <w:r w:rsidRPr="00147D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</w:t>
      </w:r>
      <w:proofErr w:type="gramEnd"/>
      <w:r w:rsidRPr="00147DC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 Оренбург</w:t>
      </w:r>
    </w:p>
    <w:p w:rsidR="00901FC7" w:rsidRPr="00147DCE" w:rsidRDefault="00901FC7" w:rsidP="001F1EEF">
      <w:pPr>
        <w:widowControl w:val="0"/>
        <w:suppressAutoHyphens/>
        <w:spacing w:line="240" w:lineRule="auto"/>
        <w:ind w:right="283" w:firstLine="0"/>
        <w:contextualSpacing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01FC7" w:rsidRPr="00147DCE" w:rsidRDefault="00901FC7" w:rsidP="00901FC7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47DCE">
        <w:rPr>
          <w:b/>
          <w:color w:val="auto"/>
          <w:sz w:val="28"/>
          <w:szCs w:val="28"/>
        </w:rPr>
        <w:t>СТАТИСТИЧЕСКИЙ АНАЛИЗ ПОКАЗАТЕЛЕЙ СОСТОЯНИЯ И ОХРАНЫ ОКРУЖАЮЩЕЙ СРЕДЫ РОССИЙСКОЙ ФЕДЕРАЦИИ</w:t>
      </w:r>
    </w:p>
    <w:p w:rsidR="00A15C01" w:rsidRPr="00147DCE" w:rsidRDefault="00A15C01" w:rsidP="004F006B">
      <w:pPr>
        <w:rPr>
          <w:rFonts w:ascii="Times New Roman" w:hAnsi="Times New Roman" w:cs="Times New Roman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="00B962B7" w:rsidRPr="00147DCE">
        <w:rPr>
          <w:rFonts w:ascii="Times New Roman" w:hAnsi="Times New Roman" w:cs="Times New Roman"/>
          <w:i/>
          <w:sz w:val="28"/>
          <w:szCs w:val="28"/>
        </w:rPr>
        <w:t xml:space="preserve">Статья посвящена анализу состояния и охраны окружающей среды в Российской Федерации. В статье раскрываются </w:t>
      </w:r>
      <w:r w:rsidR="0035738E" w:rsidRPr="00147DCE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="00B962B7" w:rsidRPr="00147DCE">
        <w:rPr>
          <w:rFonts w:ascii="Times New Roman" w:hAnsi="Times New Roman" w:cs="Times New Roman"/>
          <w:i/>
          <w:sz w:val="28"/>
          <w:szCs w:val="28"/>
        </w:rPr>
        <w:t xml:space="preserve">понятия </w:t>
      </w:r>
      <w:r w:rsidR="0035738E" w:rsidRPr="00147DCE">
        <w:rPr>
          <w:rFonts w:ascii="Times New Roman" w:hAnsi="Times New Roman" w:cs="Times New Roman"/>
          <w:i/>
          <w:sz w:val="28"/>
          <w:szCs w:val="28"/>
        </w:rPr>
        <w:t>охраны окружающей среды.</w:t>
      </w:r>
      <w:r w:rsidR="00B962B7" w:rsidRPr="00147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F006B" w:rsidRPr="00147DCE">
        <w:rPr>
          <w:rFonts w:ascii="Times New Roman" w:hAnsi="Times New Roman" w:cs="Times New Roman"/>
          <w:i/>
          <w:sz w:val="28"/>
          <w:szCs w:val="28"/>
        </w:rPr>
        <w:t>Рассматривается динамика показателей статистики охраны атмосферного воздуха и водных ресурсов в РФ за 2005-2016</w:t>
      </w:r>
      <w:r w:rsidR="00053FF7" w:rsidRPr="00147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6B" w:rsidRPr="00147DCE">
        <w:rPr>
          <w:rFonts w:ascii="Times New Roman" w:hAnsi="Times New Roman" w:cs="Times New Roman"/>
          <w:i/>
          <w:sz w:val="28"/>
          <w:szCs w:val="28"/>
        </w:rPr>
        <w:t>гг. и их структура по видам экономической деятельности за 2005 и 2016</w:t>
      </w:r>
      <w:r w:rsidR="00053FF7" w:rsidRPr="00147D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006B" w:rsidRPr="00147DCE">
        <w:rPr>
          <w:rFonts w:ascii="Times New Roman" w:hAnsi="Times New Roman" w:cs="Times New Roman"/>
          <w:i/>
          <w:sz w:val="28"/>
          <w:szCs w:val="28"/>
        </w:rPr>
        <w:t>гг.</w:t>
      </w:r>
      <w:r w:rsidR="004F006B" w:rsidRPr="00147DCE">
        <w:rPr>
          <w:rFonts w:ascii="Times New Roman" w:hAnsi="Times New Roman" w:cs="Times New Roman"/>
        </w:rPr>
        <w:t xml:space="preserve"> </w:t>
      </w:r>
      <w:r w:rsidRPr="00147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Осуществляется прогноз </w:t>
      </w:r>
      <w:r w:rsidR="004F006B" w:rsidRPr="00147DCE">
        <w:rPr>
          <w:rFonts w:ascii="Times New Roman" w:hAnsi="Times New Roman" w:cs="Times New Roman"/>
          <w:i/>
          <w:sz w:val="28"/>
          <w:szCs w:val="28"/>
        </w:rPr>
        <w:t>показателей статистики охраны атмосферного воздуха и водных ресурсов</w:t>
      </w:r>
      <w:r w:rsidR="004F006B" w:rsidRPr="00147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2017-2019</w:t>
      </w:r>
      <w:r w:rsidR="00053FF7" w:rsidRPr="00147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47D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гг.</w:t>
      </w:r>
    </w:p>
    <w:p w:rsidR="001F1EEF" w:rsidRPr="00147DCE" w:rsidRDefault="00A15C01" w:rsidP="00A15C01">
      <w:pPr>
        <w:rPr>
          <w:rFonts w:ascii="Times New Roman" w:hAnsi="Times New Roman" w:cs="Times New Roman"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Ключевые слова: </w:t>
      </w:r>
      <w:r w:rsidRPr="00147DCE">
        <w:rPr>
          <w:rFonts w:ascii="Times New Roman" w:hAnsi="Times New Roman" w:cs="Times New Roman"/>
          <w:i/>
          <w:sz w:val="28"/>
          <w:szCs w:val="28"/>
        </w:rPr>
        <w:t>статистика охраны окружающей среды и природных ресурсов, водные ресурсы, охрана атмосферного воздуха</w:t>
      </w:r>
      <w:r w:rsidR="00D62FEF" w:rsidRPr="00147DCE">
        <w:rPr>
          <w:rFonts w:ascii="Times New Roman" w:hAnsi="Times New Roman" w:cs="Times New Roman"/>
          <w:i/>
          <w:sz w:val="28"/>
          <w:szCs w:val="28"/>
        </w:rPr>
        <w:t>.</w:t>
      </w:r>
      <w:r w:rsidRPr="00147D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5C01" w:rsidRPr="00147DCE" w:rsidRDefault="000956E5" w:rsidP="00A15C0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Annotation:</w:t>
      </w:r>
      <w:r w:rsidRPr="00147D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article is devoted to the analysis of the state and protection of the environment in the Russian Federation. The article reveals the basic concepts of environmental protection. The dynamics </w:t>
      </w:r>
      <w:r w:rsidR="00D62FEF" w:rsidRPr="00147D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of indicators of statistics of protection of atmospheric air and water resources </w:t>
      </w:r>
      <w:r w:rsidRPr="00147D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in the Russian Federation for 2005-2016 and their structure by types of economic activity for 2005 and 2016 is considered. The forecast </w:t>
      </w:r>
      <w:r w:rsidR="00D62FEF" w:rsidRPr="00147DCE">
        <w:rPr>
          <w:rFonts w:ascii="Times New Roman" w:hAnsi="Times New Roman" w:cs="Times New Roman"/>
          <w:i/>
          <w:sz w:val="28"/>
          <w:szCs w:val="28"/>
          <w:lang w:val="en-US"/>
        </w:rPr>
        <w:t>of indicators of statistics of protection of atmospheric air and water resources</w:t>
      </w:r>
      <w:r w:rsidRPr="00147D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for 2017-2019</w:t>
      </w:r>
      <w:r w:rsidR="00D62FEF" w:rsidRPr="00DC643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carried out</w:t>
      </w:r>
      <w:r w:rsidRPr="00147DC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01FC7" w:rsidRPr="00147DCE" w:rsidRDefault="004F006B" w:rsidP="00901FC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Keywords: </w:t>
      </w:r>
      <w:r w:rsidRPr="00147DCE">
        <w:rPr>
          <w:rFonts w:ascii="Times New Roman" w:hAnsi="Times New Roman" w:cs="Times New Roman"/>
          <w:i/>
          <w:sz w:val="28"/>
          <w:szCs w:val="28"/>
          <w:lang w:val="en-US"/>
        </w:rPr>
        <w:t>statistics of environmental protection and natural resources, water resources, protection of atmospheric air</w:t>
      </w:r>
      <w:r w:rsidR="00D62FEF" w:rsidRPr="00147DCE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D62FEF" w:rsidRPr="00147DCE" w:rsidRDefault="00D62FEF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Охрана окружающей среды является одной из наиболее острых проблем, которые тревожат общественное мнение. В настоящее время она превратилась в глобальную проблему, что связано, главным образом, с ухудшением состояния окружающей 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 xml:space="preserve"> в результате активно растущего антропогенного воздействия. Это обусловлено демографическим взрывом, </w:t>
      </w:r>
      <w:r w:rsidRPr="00147DCE">
        <w:rPr>
          <w:rFonts w:ascii="Times New Roman" w:hAnsi="Times New Roman" w:cs="Times New Roman"/>
          <w:sz w:val="28"/>
          <w:szCs w:val="28"/>
        </w:rPr>
        <w:lastRenderedPageBreak/>
        <w:t>ускоряющейся урбанизацией и развитием горных разработок и коммуникаций, загрязнением окружающей среды различными отходами, чрезмерной нагрузкой на пахотные, пастбищные и лесные земли.</w:t>
      </w:r>
    </w:p>
    <w:p w:rsidR="00C959D4" w:rsidRPr="00147DCE" w:rsidRDefault="00C959D4" w:rsidP="00C959D4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В настоящее время основными направлениями охраны окружающей среды являются:</w:t>
      </w:r>
      <w:r w:rsidR="008820AC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1)</w:t>
      </w:r>
      <w:r w:rsidRPr="00147DCE">
        <w:rPr>
          <w:rFonts w:ascii="Times New Roman" w:hAnsi="Times New Roman" w:cs="Times New Roman"/>
          <w:sz w:val="28"/>
          <w:szCs w:val="28"/>
        </w:rPr>
        <w:tab/>
        <w:t>сохранение биологического и ландшафтного разнообразия;</w:t>
      </w:r>
      <w:r w:rsidR="008820AC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2)</w:t>
      </w:r>
      <w:r w:rsidRPr="00147DCE">
        <w:rPr>
          <w:rFonts w:ascii="Times New Roman" w:hAnsi="Times New Roman" w:cs="Times New Roman"/>
          <w:sz w:val="28"/>
          <w:szCs w:val="28"/>
        </w:rPr>
        <w:tab/>
        <w:t>сокращение сбросов загрязненных и недостаточно очищенных сточных вод в поверхностные водные объекты;</w:t>
      </w:r>
      <w:r w:rsidR="008820AC">
        <w:rPr>
          <w:rFonts w:ascii="Times New Roman" w:hAnsi="Times New Roman" w:cs="Times New Roman"/>
          <w:sz w:val="28"/>
          <w:szCs w:val="28"/>
        </w:rPr>
        <w:t xml:space="preserve"> 3)</w:t>
      </w:r>
      <w:r w:rsidRPr="00147DCE">
        <w:rPr>
          <w:rFonts w:ascii="Times New Roman" w:hAnsi="Times New Roman" w:cs="Times New Roman"/>
          <w:sz w:val="28"/>
          <w:szCs w:val="28"/>
        </w:rPr>
        <w:t xml:space="preserve">нормирование воздействия на окружающую среду и обеспечение </w:t>
      </w:r>
      <w:proofErr w:type="spellStart"/>
      <w:r w:rsidRPr="00147DCE">
        <w:rPr>
          <w:rFonts w:ascii="Times New Roman" w:hAnsi="Times New Roman" w:cs="Times New Roman"/>
          <w:sz w:val="28"/>
          <w:szCs w:val="28"/>
        </w:rPr>
        <w:t>экомониторинга</w:t>
      </w:r>
      <w:proofErr w:type="spellEnd"/>
      <w:r w:rsidRPr="00147DCE">
        <w:rPr>
          <w:rFonts w:ascii="Times New Roman" w:hAnsi="Times New Roman" w:cs="Times New Roman"/>
          <w:sz w:val="28"/>
          <w:szCs w:val="28"/>
        </w:rPr>
        <w:t xml:space="preserve"> за ним;</w:t>
      </w:r>
      <w:r w:rsidR="008820AC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4)</w:t>
      </w:r>
      <w:r w:rsidR="008820AC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сокращение выбросов загрязняющих веществ в атмосферный воздух.</w:t>
      </w:r>
    </w:p>
    <w:p w:rsidR="00D62FEF" w:rsidRPr="00147DCE" w:rsidRDefault="00270B70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По мнению профессора Ю.Н. Иванова, статистика природных ресурсов и охраны окружающей природной среды представляет собой отрасль социально-экономической статистики, которая исследует комплекс показателей, характеризующих наличие и качество природных ресурсов, взаимодействие человека и окружающей природной среды, антропогенное влияние на состояние этой среды и реакцию общества на последствия данной деятельности [</w:t>
      </w:r>
      <w:r w:rsidR="00147DCE">
        <w:rPr>
          <w:rFonts w:ascii="Times New Roman" w:hAnsi="Times New Roman" w:cs="Times New Roman"/>
          <w:sz w:val="28"/>
          <w:szCs w:val="28"/>
        </w:rPr>
        <w:t>1</w:t>
      </w:r>
      <w:r w:rsidRPr="00147DCE">
        <w:rPr>
          <w:rFonts w:ascii="Times New Roman" w:hAnsi="Times New Roman" w:cs="Times New Roman"/>
          <w:sz w:val="28"/>
          <w:szCs w:val="28"/>
        </w:rPr>
        <w:t>].</w:t>
      </w:r>
    </w:p>
    <w:p w:rsidR="0084719B" w:rsidRPr="00147DCE" w:rsidRDefault="0084719B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Под «природными ресурсами» в широком смысле понимается совокупность естественных компонентов и свойств окружающей природной среды. Они используются или в перспективе могут быть использованы для удовлетворения разнообразных физических и духовных потребностей общества в качестве предметов, орудий или условий труда, источников энергии, продуктов питания, объектов рекреации для восстановления жизнедеятельности человека, а также объектов охраны для восстановления естественных богатств природы [</w:t>
      </w:r>
      <w:r w:rsidR="00147DCE">
        <w:rPr>
          <w:rFonts w:ascii="Times New Roman" w:hAnsi="Times New Roman" w:cs="Times New Roman"/>
          <w:sz w:val="28"/>
          <w:szCs w:val="28"/>
        </w:rPr>
        <w:t>2</w:t>
      </w:r>
      <w:r w:rsidRPr="00147DCE">
        <w:rPr>
          <w:rFonts w:ascii="Times New Roman" w:hAnsi="Times New Roman" w:cs="Times New Roman"/>
          <w:sz w:val="28"/>
          <w:szCs w:val="28"/>
        </w:rPr>
        <w:t>].</w:t>
      </w:r>
    </w:p>
    <w:p w:rsidR="0084719B" w:rsidRPr="00147DCE" w:rsidRDefault="0084719B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В словаре терминов по охране природных ресурсов, подготовленном Американским обществом по охране земельных ресурсов, «охрана окружающей среды» трактуется как защита, улучшение и рациональное использование природных ресурсов в соответствии с принципами, обеспечивающими их наиболее высокую экономическую и социальную эффективность [</w:t>
      </w:r>
      <w:r w:rsidR="00640DE6">
        <w:rPr>
          <w:rFonts w:ascii="Times New Roman" w:hAnsi="Times New Roman" w:cs="Times New Roman"/>
          <w:sz w:val="28"/>
          <w:szCs w:val="28"/>
        </w:rPr>
        <w:t>3</w:t>
      </w:r>
      <w:r w:rsidRPr="00147DCE">
        <w:rPr>
          <w:rFonts w:ascii="Times New Roman" w:hAnsi="Times New Roman" w:cs="Times New Roman"/>
          <w:sz w:val="28"/>
          <w:szCs w:val="28"/>
        </w:rPr>
        <w:t>].</w:t>
      </w:r>
    </w:p>
    <w:p w:rsidR="00D93A15" w:rsidRPr="00147DCE" w:rsidRDefault="0084719B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lastRenderedPageBreak/>
        <w:t>Одним из основных показателей, характеризующих охрану атмосферного воздуха, является объём выброса загрязняющих атмосферу веще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 xml:space="preserve">ационарными и передвижными источниками. </w:t>
      </w:r>
    </w:p>
    <w:p w:rsidR="0084719B" w:rsidRPr="00147DCE" w:rsidRDefault="00D93A15" w:rsidP="00901FC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Для того ч</w:t>
      </w:r>
      <w:r w:rsidR="0087748D" w:rsidRPr="00147DCE">
        <w:rPr>
          <w:rFonts w:ascii="Times New Roman" w:hAnsi="Times New Roman" w:cs="Times New Roman"/>
          <w:sz w:val="28"/>
          <w:szCs w:val="28"/>
        </w:rPr>
        <w:t xml:space="preserve">тобы осуществить анализ скорости и интенсивности развития объёма выброса загрязняющих атмосферу веществ во времени, </w:t>
      </w:r>
      <w:r w:rsidR="0087748D"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выявить</w:t>
      </w:r>
      <w:r w:rsidR="0087748D" w:rsidRPr="00147DCE">
        <w:rPr>
          <w:rFonts w:ascii="Times New Roman" w:hAnsi="Times New Roman" w:cs="Times New Roman"/>
          <w:sz w:val="28"/>
          <w:szCs w:val="28"/>
        </w:rPr>
        <w:t xml:space="preserve"> статистические показатели, которые получаются в результате сравнения уровней между собой.</w:t>
      </w:r>
    </w:p>
    <w:p w:rsidR="0087748D" w:rsidRPr="00147DCE" w:rsidRDefault="0087748D" w:rsidP="0087748D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Таблица 1. </w:t>
      </w:r>
    </w:p>
    <w:p w:rsidR="0087748D" w:rsidRPr="00147DCE" w:rsidRDefault="0087748D" w:rsidP="0087748D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="00D93A15" w:rsidRPr="00147DCE">
        <w:rPr>
          <w:rFonts w:ascii="Times New Roman" w:hAnsi="Times New Roman" w:cs="Times New Roman"/>
          <w:b/>
          <w:sz w:val="28"/>
          <w:szCs w:val="28"/>
        </w:rPr>
        <w:t xml:space="preserve">объёма выброса загрязняющих атмосферу веществ </w:t>
      </w:r>
      <w:r w:rsidRPr="00147DCE">
        <w:rPr>
          <w:rFonts w:ascii="Times New Roman" w:hAnsi="Times New Roman" w:cs="Times New Roman"/>
          <w:b/>
          <w:sz w:val="28"/>
          <w:szCs w:val="28"/>
        </w:rPr>
        <w:t>в РФ</w:t>
      </w:r>
    </w:p>
    <w:tbl>
      <w:tblPr>
        <w:tblStyle w:val="a4"/>
        <w:tblW w:w="0" w:type="auto"/>
        <w:jc w:val="center"/>
        <w:tblLook w:val="04A0"/>
      </w:tblPr>
      <w:tblGrid>
        <w:gridCol w:w="750"/>
        <w:gridCol w:w="2258"/>
        <w:gridCol w:w="1039"/>
        <w:gridCol w:w="1312"/>
        <w:gridCol w:w="931"/>
        <w:gridCol w:w="1175"/>
        <w:gridCol w:w="931"/>
        <w:gridCol w:w="1175"/>
      </w:tblGrid>
      <w:tr w:rsidR="0087748D" w:rsidRPr="00147DCE" w:rsidTr="0087748D">
        <w:trPr>
          <w:trHeight w:val="498"/>
          <w:jc w:val="center"/>
        </w:trPr>
        <w:tc>
          <w:tcPr>
            <w:tcW w:w="0" w:type="auto"/>
            <w:vMerge w:val="restart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0" w:type="auto"/>
            <w:vMerge w:val="restart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  <w:color w:val="000000"/>
              </w:rPr>
              <w:t>Объём выброса загрязняющих атмосферу веществ, млн. т</w:t>
            </w:r>
          </w:p>
        </w:tc>
        <w:tc>
          <w:tcPr>
            <w:tcW w:w="0" w:type="auto"/>
            <w:gridSpan w:val="2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Абсолютный прирост (убыль), млн. т</w:t>
            </w:r>
          </w:p>
        </w:tc>
        <w:tc>
          <w:tcPr>
            <w:tcW w:w="0" w:type="auto"/>
            <w:gridSpan w:val="2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Темп роста, %</w:t>
            </w:r>
          </w:p>
        </w:tc>
        <w:tc>
          <w:tcPr>
            <w:tcW w:w="0" w:type="auto"/>
            <w:gridSpan w:val="2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Темп прироста, %</w:t>
            </w:r>
          </w:p>
        </w:tc>
      </w:tr>
      <w:tr w:rsidR="0087748D" w:rsidRPr="00147DCE" w:rsidTr="0087748D">
        <w:trPr>
          <w:trHeight w:val="498"/>
          <w:jc w:val="center"/>
        </w:trPr>
        <w:tc>
          <w:tcPr>
            <w:tcW w:w="0" w:type="auto"/>
            <w:vMerge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35,84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35,51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-0,9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-0,9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35,53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99,2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-0,8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33,95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94,7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-5,3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32,75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91,4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-8,6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32,35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-9,7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32,63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100,8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91,1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-8,9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32,47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-9,4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32,06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89,5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-10,5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31,23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-0,8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97,4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-12,9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31,27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-4,6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87,3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-12,7</w:t>
            </w:r>
          </w:p>
        </w:tc>
      </w:tr>
      <w:tr w:rsidR="0087748D" w:rsidRPr="00147DCE" w:rsidTr="0087748D">
        <w:trPr>
          <w:jc w:val="center"/>
        </w:trPr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87748D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31,62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101,1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88,2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0" w:type="auto"/>
            <w:vAlign w:val="center"/>
          </w:tcPr>
          <w:p w:rsidR="0087748D" w:rsidRPr="00147DCE" w:rsidRDefault="0087748D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-11,8</w:t>
            </w:r>
          </w:p>
        </w:tc>
      </w:tr>
    </w:tbl>
    <w:p w:rsidR="00720EFE" w:rsidRPr="00147DCE" w:rsidRDefault="00720EFE" w:rsidP="00053FF7">
      <w:pPr>
        <w:rPr>
          <w:rFonts w:ascii="Times New Roman" w:hAnsi="Times New Roman" w:cs="Times New Roman"/>
          <w:sz w:val="28"/>
          <w:szCs w:val="28"/>
        </w:rPr>
      </w:pPr>
    </w:p>
    <w:p w:rsidR="00053FF7" w:rsidRPr="00147DCE" w:rsidRDefault="00053FF7" w:rsidP="00053FF7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7715D2" w:rsidRPr="00147DCE">
        <w:rPr>
          <w:rFonts w:ascii="Times New Roman" w:hAnsi="Times New Roman" w:cs="Times New Roman"/>
          <w:sz w:val="28"/>
          <w:szCs w:val="28"/>
        </w:rPr>
        <w:t>1</w:t>
      </w:r>
      <w:r w:rsidRPr="00147DCE">
        <w:rPr>
          <w:rFonts w:ascii="Times New Roman" w:hAnsi="Times New Roman" w:cs="Times New Roman"/>
          <w:sz w:val="28"/>
          <w:szCs w:val="28"/>
        </w:rPr>
        <w:t xml:space="preserve"> можно сказать, что с 2005 по 2016 гг. наблюдается ежегодное снижение</w:t>
      </w:r>
      <w:r w:rsidRPr="00147DCE">
        <w:rPr>
          <w:rFonts w:ascii="Times New Roman" w:hAnsi="Times New Roman" w:cs="Times New Roman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объёма выброса загрязняющих атмосферу веще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>ационарными и передвижными источниками в РФ. По сравнению с 2005</w:t>
      </w:r>
      <w:r w:rsidR="00270281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г. все последующие года характеризуются убылью. Наибольшая убыль наблюдается в 2014</w:t>
      </w:r>
      <w:r w:rsidR="00270281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 xml:space="preserve">г., когда </w:t>
      </w:r>
      <w:r w:rsidRPr="00147DCE">
        <w:rPr>
          <w:rFonts w:ascii="Times New Roman" w:hAnsi="Times New Roman" w:cs="Times New Roman"/>
          <w:color w:val="000000"/>
          <w:sz w:val="28"/>
          <w:szCs w:val="28"/>
        </w:rPr>
        <w:t>объём выброса</w:t>
      </w:r>
      <w:r w:rsidRPr="00147DCE">
        <w:rPr>
          <w:rFonts w:ascii="Times New Roman" w:hAnsi="Times New Roman" w:cs="Times New Roman"/>
          <w:sz w:val="28"/>
          <w:szCs w:val="28"/>
        </w:rPr>
        <w:t xml:space="preserve"> снизился на 4,6 млн. т, что составило 12,9% по отношению к 2005</w:t>
      </w:r>
      <w:r w:rsidR="00270281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г.</w:t>
      </w:r>
      <w:r w:rsidR="00270281" w:rsidRPr="00147DCE">
        <w:rPr>
          <w:rFonts w:ascii="Times New Roman" w:hAnsi="Times New Roman" w:cs="Times New Roman"/>
          <w:sz w:val="28"/>
          <w:szCs w:val="28"/>
        </w:rPr>
        <w:t xml:space="preserve"> Наибольший прирост (0,8%) объёма выброса загрязняющих атмосферу веществ стационарными и передвижными источниками приходится на 2011 г. по сравнению с 2010 г., а наибольшая убыль (4,4%) наблюдается в 2008г. по сравнению с 2007 г.</w:t>
      </w:r>
    </w:p>
    <w:p w:rsidR="00270281" w:rsidRPr="00147DCE" w:rsidRDefault="00270281" w:rsidP="00720EFE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На основе данных таблицы 1 был осуществлен расчет средних величин динамики, который показал, что за 2005-2016 гг. объём выброса </w:t>
      </w:r>
      <w:r w:rsidRPr="00147DCE">
        <w:rPr>
          <w:rFonts w:ascii="Times New Roman" w:hAnsi="Times New Roman" w:cs="Times New Roman"/>
          <w:sz w:val="28"/>
          <w:szCs w:val="28"/>
        </w:rPr>
        <w:lastRenderedPageBreak/>
        <w:t>загрязняющих атмосферу веще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>еднем ежегодно снижался на 0,38 млн. т или на 49,78%.</w:t>
      </w:r>
      <w:r w:rsidR="00720EFE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Средний уровень объёма выброса загрязняющих атмосферу веществ за 12 лет составил 33,10 млн. т.</w:t>
      </w:r>
    </w:p>
    <w:p w:rsidR="00270281" w:rsidRPr="00147DCE" w:rsidRDefault="00432455" w:rsidP="00432455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Для анализа структурных сдвигов была рассмотрена структура объёма выброса загрязняющих атмосферу веще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 xml:space="preserve">ационарными источниками в РФ </w:t>
      </w:r>
      <w:r w:rsidRPr="00147DCE">
        <w:rPr>
          <w:rFonts w:ascii="Times New Roman" w:hAnsi="Times New Roman" w:cs="Times New Roman"/>
          <w:bCs/>
          <w:color w:val="000000"/>
          <w:sz w:val="28"/>
          <w:szCs w:val="28"/>
        </w:rPr>
        <w:t>по видам экономической деятельности</w:t>
      </w:r>
      <w:r w:rsidRPr="00147DCE">
        <w:rPr>
          <w:rFonts w:ascii="Times New Roman" w:hAnsi="Times New Roman" w:cs="Times New Roman"/>
          <w:sz w:val="28"/>
          <w:szCs w:val="28"/>
        </w:rPr>
        <w:t>.</w:t>
      </w:r>
    </w:p>
    <w:p w:rsidR="00432455" w:rsidRPr="00147DCE" w:rsidRDefault="00432455" w:rsidP="00432455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908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32455" w:rsidRPr="00147DCE" w:rsidRDefault="00432455" w:rsidP="0043245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Рис. 1. </w:t>
      </w: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объёма выброса загрязняющих атмосферу веществ, отходящих от стационарных источников, в РФ по видам экономической деятельности, %</w:t>
      </w:r>
    </w:p>
    <w:p w:rsidR="0098436D" w:rsidRPr="00147DCE" w:rsidRDefault="0098436D" w:rsidP="00F35962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Из рисунка 1 видно, что в 2005 г. и в 2016 г. наибольший удельный вес </w:t>
      </w:r>
      <w:r w:rsidR="00F35962" w:rsidRPr="00147DCE">
        <w:rPr>
          <w:rFonts w:ascii="Times New Roman" w:hAnsi="Times New Roman" w:cs="Times New Roman"/>
          <w:sz w:val="28"/>
          <w:szCs w:val="28"/>
        </w:rPr>
        <w:t>в структуре объёма выброса загрязняющих атмосферу веществ, отходящих от стационарных источников, по видам экономической деятельност</w:t>
      </w:r>
      <w:r w:rsidR="00F35962" w:rsidRPr="00147DCE">
        <w:rPr>
          <w:rFonts w:ascii="Times New Roman" w:hAnsi="Times New Roman" w:cs="Times New Roman"/>
          <w:bCs/>
          <w:sz w:val="28"/>
          <w:szCs w:val="28"/>
        </w:rPr>
        <w:t>и</w:t>
      </w:r>
      <w:r w:rsidR="00F35962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>занимал объём выброса в обрабатывающем производстве, наименьший - в сельском хозяйстве, охоте и лесном хозяйстве.</w:t>
      </w:r>
      <w:r w:rsidR="00F35962" w:rsidRPr="00147DCE">
        <w:rPr>
          <w:rFonts w:ascii="Times New Roman" w:hAnsi="Times New Roman" w:cs="Times New Roman"/>
          <w:sz w:val="28"/>
          <w:szCs w:val="28"/>
        </w:rPr>
        <w:t xml:space="preserve"> </w:t>
      </w:r>
      <w:r w:rsidRPr="00147DCE">
        <w:rPr>
          <w:rFonts w:ascii="Times New Roman" w:hAnsi="Times New Roman" w:cs="Times New Roman"/>
          <w:sz w:val="28"/>
          <w:szCs w:val="28"/>
        </w:rPr>
        <w:t xml:space="preserve">В </w:t>
      </w:r>
      <w:r w:rsidR="00F35962" w:rsidRPr="00147DCE">
        <w:rPr>
          <w:rFonts w:ascii="Times New Roman" w:hAnsi="Times New Roman" w:cs="Times New Roman"/>
          <w:sz w:val="28"/>
          <w:szCs w:val="28"/>
        </w:rPr>
        <w:t xml:space="preserve">структуре </w:t>
      </w:r>
      <w:r w:rsidRPr="00147DCE">
        <w:rPr>
          <w:rFonts w:ascii="Times New Roman" w:hAnsi="Times New Roman" w:cs="Times New Roman"/>
          <w:sz w:val="28"/>
          <w:szCs w:val="28"/>
        </w:rPr>
        <w:t>произошло сокращение объёма выброса в добыче полезных ископаемых в 2016г. по сравнению с 2005г. на 1,79 %, в производстве и распределение электроэнергии, газа и воды - увеличение на 1,52%, по предоставлению прочих коммунальных, социальных и персональных услуг - увеличение на 1,43%.</w:t>
      </w:r>
    </w:p>
    <w:p w:rsidR="00F35962" w:rsidRPr="00147DCE" w:rsidRDefault="00F35962" w:rsidP="00F3596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В рамках статьи был осуществлен прогноз объёма выброса загрязняющих атмосферу веще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 xml:space="preserve">ационарными и передвижными источниками в РФ на 2017-2019 гг. Результаты представлены в таблицах </w:t>
      </w:r>
      <w:r w:rsidR="00DC643B">
        <w:rPr>
          <w:rFonts w:ascii="Times New Roman" w:hAnsi="Times New Roman" w:cs="Times New Roman"/>
          <w:sz w:val="28"/>
          <w:szCs w:val="28"/>
        </w:rPr>
        <w:t>2</w:t>
      </w:r>
      <w:r w:rsidRPr="00147DCE">
        <w:rPr>
          <w:rFonts w:ascii="Times New Roman" w:hAnsi="Times New Roman" w:cs="Times New Roman"/>
          <w:sz w:val="28"/>
          <w:szCs w:val="28"/>
        </w:rPr>
        <w:t xml:space="preserve">, </w:t>
      </w:r>
      <w:r w:rsidR="00DC643B">
        <w:rPr>
          <w:rFonts w:ascii="Times New Roman" w:hAnsi="Times New Roman" w:cs="Times New Roman"/>
          <w:sz w:val="28"/>
          <w:szCs w:val="28"/>
        </w:rPr>
        <w:t>3</w:t>
      </w:r>
      <w:r w:rsidRPr="00147DCE">
        <w:rPr>
          <w:rFonts w:ascii="Times New Roman" w:hAnsi="Times New Roman" w:cs="Times New Roman"/>
          <w:sz w:val="28"/>
          <w:szCs w:val="28"/>
        </w:rPr>
        <w:t>.</w:t>
      </w:r>
    </w:p>
    <w:p w:rsidR="00F35962" w:rsidRPr="00147DCE" w:rsidRDefault="00F35962" w:rsidP="00F359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Таблица </w:t>
      </w:r>
      <w:r w:rsidR="00DC64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35962" w:rsidRPr="00147DCE" w:rsidRDefault="00F35962" w:rsidP="00F3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Прогноз на основе среднего абсолютного прироста</w:t>
      </w:r>
    </w:p>
    <w:tbl>
      <w:tblPr>
        <w:tblW w:w="0" w:type="auto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1334"/>
        <w:gridCol w:w="4573"/>
      </w:tblGrid>
      <w:tr w:rsidR="00310116" w:rsidRPr="00147DCE" w:rsidTr="00147DCE">
        <w:trPr>
          <w:jc w:val="center"/>
        </w:trPr>
        <w:tc>
          <w:tcPr>
            <w:tcW w:w="1658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334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  <w:position w:val="-4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5pt;height:12.9pt" o:ole="">
                  <v:imagedata r:id="rId6" o:title=""/>
                </v:shape>
                <o:OLEObject Type="Embed" ProgID="Equation.3" ShapeID="_x0000_i1025" DrawAspect="Content" ObjectID="_1575292974" r:id="rId7"/>
              </w:object>
            </w:r>
          </w:p>
        </w:tc>
        <w:tc>
          <w:tcPr>
            <w:tcW w:w="4573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Прогнозные значения</w:t>
            </w:r>
          </w:p>
        </w:tc>
      </w:tr>
      <w:tr w:rsidR="00310116" w:rsidRPr="00147DCE" w:rsidTr="00147DCE">
        <w:trPr>
          <w:trHeight w:val="162"/>
          <w:jc w:val="center"/>
        </w:trPr>
        <w:tc>
          <w:tcPr>
            <w:tcW w:w="1658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4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2017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0,38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1=31,24</m:t>
                </m:r>
              </m:oMath>
            </m:oMathPara>
          </w:p>
        </w:tc>
      </w:tr>
      <w:tr w:rsidR="00310116" w:rsidRPr="00147DCE" w:rsidTr="00147DCE">
        <w:trPr>
          <w:jc w:val="center"/>
        </w:trPr>
        <w:tc>
          <w:tcPr>
            <w:tcW w:w="1658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34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2018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0,38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2=30,86</m:t>
                </m:r>
              </m:oMath>
            </m:oMathPara>
          </w:p>
        </w:tc>
      </w:tr>
      <w:tr w:rsidR="00310116" w:rsidRPr="00147DCE" w:rsidTr="00147DCE">
        <w:trPr>
          <w:jc w:val="center"/>
        </w:trPr>
        <w:tc>
          <w:tcPr>
            <w:tcW w:w="1658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34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2019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0,38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3=30,48</m:t>
                </m:r>
              </m:oMath>
            </m:oMathPara>
          </w:p>
        </w:tc>
      </w:tr>
    </w:tbl>
    <w:p w:rsidR="00F35962" w:rsidRPr="00147DCE" w:rsidRDefault="00F35962" w:rsidP="00310116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962" w:rsidRPr="00147DCE" w:rsidRDefault="00F35962" w:rsidP="00F359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DC643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5962" w:rsidRPr="00147DCE" w:rsidRDefault="00F35962" w:rsidP="00F3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Прогноз на основе среднего темпа роста</w:t>
      </w:r>
    </w:p>
    <w:tbl>
      <w:tblPr>
        <w:tblW w:w="0" w:type="auto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276"/>
        <w:gridCol w:w="4573"/>
      </w:tblGrid>
      <w:tr w:rsidR="00310116" w:rsidRPr="00147DCE" w:rsidTr="00147DCE">
        <w:trPr>
          <w:jc w:val="center"/>
        </w:trPr>
        <w:tc>
          <w:tcPr>
            <w:tcW w:w="1629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6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  <w:position w:val="-4"/>
              </w:rPr>
              <w:object w:dxaOrig="220" w:dyaOrig="260">
                <v:shape id="_x0000_i1026" type="#_x0000_t75" style="width:10.75pt;height:12.9pt" o:ole="">
                  <v:imagedata r:id="rId6" o:title=""/>
                </v:shape>
                <o:OLEObject Type="Embed" ProgID="Equation.3" ShapeID="_x0000_i1026" DrawAspect="Content" ObjectID="_1575292975" r:id="rId8"/>
              </w:object>
            </w:r>
          </w:p>
        </w:tc>
        <w:tc>
          <w:tcPr>
            <w:tcW w:w="4573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Прогнозные значения</w:t>
            </w:r>
          </w:p>
        </w:tc>
      </w:tr>
      <w:tr w:rsidR="00310116" w:rsidRPr="00147DCE" w:rsidTr="00147DCE">
        <w:trPr>
          <w:jc w:val="center"/>
        </w:trPr>
        <w:tc>
          <w:tcPr>
            <w:tcW w:w="1629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2017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0,50=15,87</m:t>
                </m:r>
              </m:oMath>
            </m:oMathPara>
          </w:p>
        </w:tc>
      </w:tr>
      <w:tr w:rsidR="00310116" w:rsidRPr="00147DCE" w:rsidTr="00147DCE">
        <w:trPr>
          <w:jc w:val="center"/>
        </w:trPr>
        <w:tc>
          <w:tcPr>
            <w:tcW w:w="1629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2018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0,50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=7,97</m:t>
                </m:r>
              </m:oMath>
            </m:oMathPara>
          </w:p>
        </w:tc>
      </w:tr>
      <w:tr w:rsidR="00310116" w:rsidRPr="00147DCE" w:rsidTr="00147DCE">
        <w:trPr>
          <w:jc w:val="center"/>
        </w:trPr>
        <w:tc>
          <w:tcPr>
            <w:tcW w:w="1629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310116" w:rsidRPr="00147DCE" w:rsidRDefault="00310116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dxa"/>
          </w:tcPr>
          <w:p w:rsidR="00310116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2019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31,62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0,50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=4,00</m:t>
                </m:r>
              </m:oMath>
            </m:oMathPara>
          </w:p>
        </w:tc>
      </w:tr>
    </w:tbl>
    <w:p w:rsidR="0098436D" w:rsidRPr="00147DCE" w:rsidRDefault="0098436D" w:rsidP="0098436D">
      <w:pPr>
        <w:rPr>
          <w:rFonts w:ascii="Times New Roman" w:eastAsia="Times New Roman" w:hAnsi="Times New Roman" w:cs="Times New Roman"/>
          <w:lang w:eastAsia="ru-RU"/>
        </w:rPr>
      </w:pPr>
    </w:p>
    <w:p w:rsidR="00310116" w:rsidRPr="00147DCE" w:rsidRDefault="00310116" w:rsidP="00310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прогноза, построенного на основе среднего абсолютного прироста, объём выброса загрязняющих атмосферу веще</w:t>
      </w:r>
      <w:proofErr w:type="gramStart"/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ационарными и передвижными источниками в РФ к 2019г. составит 30,48 млн. т.</w:t>
      </w:r>
    </w:p>
    <w:p w:rsidR="00310116" w:rsidRPr="00147DCE" w:rsidRDefault="00310116" w:rsidP="00310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 основе среднего темпа роста позволяет утверждать, что объём выброса загрязняющих атмосферу веще</w:t>
      </w:r>
      <w:proofErr w:type="gramStart"/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ационарными и передвижными источниками в РФ к 2019г. составит 4 млн. т.</w:t>
      </w:r>
    </w:p>
    <w:p w:rsidR="00310116" w:rsidRPr="00147DCE" w:rsidRDefault="00310116" w:rsidP="003101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показателей, характеризующих водные ресурсы, является объём сброса загрязненных сточных вод в поверхностные водные объекты.</w:t>
      </w:r>
    </w:p>
    <w:p w:rsidR="00310116" w:rsidRPr="00147DCE" w:rsidRDefault="00310116" w:rsidP="00310116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Для того чтобы осуществить анализ скорости и интенсивности развития </w:t>
      </w: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сброса загрязненных сточных вод</w:t>
      </w:r>
      <w:r w:rsidRPr="00147DCE">
        <w:rPr>
          <w:rFonts w:ascii="Times New Roman" w:hAnsi="Times New Roman" w:cs="Times New Roman"/>
          <w:sz w:val="28"/>
          <w:szCs w:val="28"/>
        </w:rPr>
        <w:t xml:space="preserve"> во времени, </w:t>
      </w: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выявить</w:t>
      </w:r>
      <w:r w:rsidRPr="00147DCE">
        <w:rPr>
          <w:rFonts w:ascii="Times New Roman" w:hAnsi="Times New Roman" w:cs="Times New Roman"/>
          <w:sz w:val="28"/>
          <w:szCs w:val="28"/>
        </w:rPr>
        <w:t xml:space="preserve"> статистические показатели, которые получаются в результате сравнения уровней между собой.</w:t>
      </w:r>
    </w:p>
    <w:p w:rsidR="00310116" w:rsidRPr="00147DCE" w:rsidRDefault="00310116" w:rsidP="00310116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Таблица </w:t>
      </w:r>
      <w:r w:rsidR="00DC64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10116" w:rsidRPr="00147DCE" w:rsidRDefault="00310116" w:rsidP="00310116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 xml:space="preserve">Динамика объёма </w:t>
      </w:r>
      <w:r w:rsidRPr="00147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сброса загрязненных сточных вод</w:t>
      </w:r>
      <w:r w:rsidRPr="00147DCE">
        <w:rPr>
          <w:rFonts w:ascii="Times New Roman" w:hAnsi="Times New Roman" w:cs="Times New Roman"/>
          <w:b/>
          <w:sz w:val="28"/>
          <w:szCs w:val="28"/>
        </w:rPr>
        <w:t xml:space="preserve"> в РФ</w:t>
      </w:r>
    </w:p>
    <w:tbl>
      <w:tblPr>
        <w:tblStyle w:val="a4"/>
        <w:tblW w:w="0" w:type="auto"/>
        <w:jc w:val="center"/>
        <w:tblLook w:val="04A0"/>
      </w:tblPr>
      <w:tblGrid>
        <w:gridCol w:w="750"/>
        <w:gridCol w:w="2184"/>
        <w:gridCol w:w="1072"/>
        <w:gridCol w:w="1353"/>
        <w:gridCol w:w="931"/>
        <w:gridCol w:w="1175"/>
        <w:gridCol w:w="931"/>
        <w:gridCol w:w="1175"/>
      </w:tblGrid>
      <w:tr w:rsidR="00310116" w:rsidRPr="00147DCE" w:rsidTr="00147DCE">
        <w:trPr>
          <w:trHeight w:val="498"/>
          <w:jc w:val="center"/>
        </w:trPr>
        <w:tc>
          <w:tcPr>
            <w:tcW w:w="0" w:type="auto"/>
            <w:vMerge w:val="restart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Годы</w:t>
            </w:r>
          </w:p>
        </w:tc>
        <w:tc>
          <w:tcPr>
            <w:tcW w:w="0" w:type="auto"/>
            <w:vMerge w:val="restart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47DCE">
              <w:rPr>
                <w:rFonts w:ascii="Times New Roman" w:hAnsi="Times New Roman" w:cs="Times New Roman"/>
                <w:b/>
                <w:color w:val="000000"/>
              </w:rPr>
              <w:t xml:space="preserve">Объём </w:t>
            </w:r>
            <w:r w:rsidRPr="00147DCE">
              <w:rPr>
                <w:rFonts w:ascii="Times New Roman" w:hAnsi="Times New Roman" w:cs="Times New Roman"/>
                <w:b/>
              </w:rPr>
              <w:t>сброса загрязненных сточных вод</w:t>
            </w:r>
            <w:r w:rsidRPr="00147DCE">
              <w:rPr>
                <w:rFonts w:ascii="Times New Roman" w:hAnsi="Times New Roman" w:cs="Times New Roman"/>
                <w:b/>
                <w:color w:val="000000"/>
              </w:rPr>
              <w:t>, млн. м</w:t>
            </w:r>
            <w:r w:rsidRPr="00147DCE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 xml:space="preserve">Абсолютный прирост (убыль), </w:t>
            </w:r>
            <w:r w:rsidRPr="00147DCE">
              <w:rPr>
                <w:rFonts w:ascii="Times New Roman" w:hAnsi="Times New Roman" w:cs="Times New Roman"/>
                <w:b/>
                <w:color w:val="000000"/>
              </w:rPr>
              <w:t>млн. м</w:t>
            </w:r>
            <w:r w:rsidRPr="00147DCE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Темп роста, %</w:t>
            </w:r>
          </w:p>
        </w:tc>
        <w:tc>
          <w:tcPr>
            <w:tcW w:w="0" w:type="auto"/>
            <w:gridSpan w:val="2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DCE">
              <w:rPr>
                <w:rFonts w:ascii="Times New Roman" w:hAnsi="Times New Roman" w:cs="Times New Roman"/>
                <w:b/>
              </w:rPr>
              <w:t>Темп прироста, %</w:t>
            </w:r>
          </w:p>
        </w:tc>
      </w:tr>
      <w:tr w:rsidR="00310116" w:rsidRPr="00147DCE" w:rsidTr="00147DCE">
        <w:trPr>
          <w:trHeight w:val="498"/>
          <w:jc w:val="center"/>
        </w:trPr>
        <w:tc>
          <w:tcPr>
            <w:tcW w:w="0" w:type="auto"/>
            <w:vMerge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цепной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D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базисный</w:t>
            </w:r>
          </w:p>
        </w:tc>
      </w:tr>
      <w:tr w:rsidR="00147DCE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17727,0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-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17489,0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-238,0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-238,0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-1,3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-1,3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17176,0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-313,0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-551,0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-1,8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-3,1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17119,0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-57,0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-608,0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99,7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-0,3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-3,4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15854,0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-1265,0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-1873,0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92,6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89,4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-7,4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-10,6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lastRenderedPageBreak/>
              <w:t>2010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16516,0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662,0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-1211,0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104,2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-6,8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15966,0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-550,0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-1761,0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96,7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-3,3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-9,9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15678,0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-288,0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-2049,0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98,2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-1,8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-11,6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15189,0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-489,0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-2538,0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96,9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-3,1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-14,3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14768,0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-421,0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-2959,0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97,2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-2,8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-16,7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14418,0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-350,0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-3309,0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97,6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-2,4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-18,7</w:t>
            </w:r>
          </w:p>
        </w:tc>
      </w:tr>
      <w:tr w:rsidR="00310116" w:rsidRPr="00147DCE" w:rsidTr="00310116">
        <w:trPr>
          <w:jc w:val="center"/>
        </w:trPr>
        <w:tc>
          <w:tcPr>
            <w:tcW w:w="0" w:type="auto"/>
            <w:vAlign w:val="center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vAlign w:val="bottom"/>
          </w:tcPr>
          <w:p w:rsidR="00310116" w:rsidRPr="00147DCE" w:rsidRDefault="00310116" w:rsidP="00147D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14719,0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301,0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-3008,0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102,1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0" w:type="auto"/>
            <w:vAlign w:val="center"/>
          </w:tcPr>
          <w:p w:rsidR="00310116" w:rsidRPr="00147DCE" w:rsidRDefault="00310116" w:rsidP="003101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DCE">
              <w:rPr>
                <w:rFonts w:ascii="Times New Roman" w:hAnsi="Times New Roman" w:cs="Times New Roman"/>
                <w:color w:val="000000"/>
              </w:rPr>
              <w:t>-17,0</w:t>
            </w:r>
          </w:p>
        </w:tc>
      </w:tr>
    </w:tbl>
    <w:p w:rsidR="00720EFE" w:rsidRPr="00147DCE" w:rsidRDefault="00720EFE" w:rsidP="00720EF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48D" w:rsidRPr="00147DCE" w:rsidRDefault="00720EFE" w:rsidP="00720EFE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DC643B">
        <w:rPr>
          <w:rFonts w:ascii="Times New Roman" w:hAnsi="Times New Roman" w:cs="Times New Roman"/>
          <w:sz w:val="28"/>
          <w:szCs w:val="28"/>
        </w:rPr>
        <w:t>4</w:t>
      </w:r>
      <w:r w:rsidRPr="00147DCE">
        <w:rPr>
          <w:rFonts w:ascii="Times New Roman" w:hAnsi="Times New Roman" w:cs="Times New Roman"/>
          <w:sz w:val="28"/>
          <w:szCs w:val="28"/>
        </w:rPr>
        <w:t xml:space="preserve"> можно сказать, что по сравнению с 2005 г. все последующие года характеризуются убылью. </w:t>
      </w:r>
      <w:proofErr w:type="gramStart"/>
      <w:r w:rsidRPr="00147DCE">
        <w:rPr>
          <w:rFonts w:ascii="Times New Roman" w:hAnsi="Times New Roman" w:cs="Times New Roman"/>
          <w:sz w:val="28"/>
          <w:szCs w:val="28"/>
        </w:rPr>
        <w:t>Наибольшая убыль наблюдается в 2015 г., когда объём сброса снизился на 3309 млн. м</w:t>
      </w:r>
      <w:r w:rsidRPr="00147D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DCE">
        <w:rPr>
          <w:rFonts w:ascii="Times New Roman" w:hAnsi="Times New Roman" w:cs="Times New Roman"/>
          <w:sz w:val="28"/>
          <w:szCs w:val="28"/>
        </w:rPr>
        <w:t>, что составило 18,7% по отношению к 2005 г. Наибольший прирост (662 млн. м</w:t>
      </w:r>
      <w:r w:rsidRPr="00147D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DCE">
        <w:rPr>
          <w:rFonts w:ascii="Times New Roman" w:hAnsi="Times New Roman" w:cs="Times New Roman"/>
          <w:sz w:val="28"/>
          <w:szCs w:val="28"/>
        </w:rPr>
        <w:t xml:space="preserve"> или 4,2%) объёма сброса загрязненных сточных вод в поверхностные водные объекты приходится на 2010 г. по сравнению с 2009г., а наибольшая убыль (1265 млн. м</w:t>
      </w:r>
      <w:r w:rsidRPr="00147D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7DCE">
        <w:rPr>
          <w:rFonts w:ascii="Times New Roman" w:hAnsi="Times New Roman" w:cs="Times New Roman"/>
          <w:sz w:val="28"/>
          <w:szCs w:val="28"/>
        </w:rPr>
        <w:t xml:space="preserve"> или 7,4%) наблюдается в 2009 г. по сравнению</w:t>
      </w:r>
      <w:proofErr w:type="gramEnd"/>
      <w:r w:rsidRPr="00147DCE">
        <w:rPr>
          <w:rFonts w:ascii="Times New Roman" w:hAnsi="Times New Roman" w:cs="Times New Roman"/>
          <w:sz w:val="28"/>
          <w:szCs w:val="28"/>
        </w:rPr>
        <w:t xml:space="preserve"> с 2008 г.</w:t>
      </w:r>
    </w:p>
    <w:p w:rsidR="00720EFE" w:rsidRPr="00147DCE" w:rsidRDefault="00720EFE" w:rsidP="00720EF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7DCE">
        <w:rPr>
          <w:sz w:val="28"/>
          <w:szCs w:val="28"/>
        </w:rPr>
        <w:t xml:space="preserve">На основе данных таблицы </w:t>
      </w:r>
      <w:r w:rsidR="00DC643B">
        <w:rPr>
          <w:sz w:val="28"/>
          <w:szCs w:val="28"/>
        </w:rPr>
        <w:t>4</w:t>
      </w:r>
      <w:r w:rsidRPr="00147DCE">
        <w:rPr>
          <w:sz w:val="28"/>
          <w:szCs w:val="28"/>
        </w:rPr>
        <w:t xml:space="preserve"> был осуществлен расчет средних величин динамики, который показал, что </w:t>
      </w:r>
      <w:r w:rsidRPr="00147DCE">
        <w:rPr>
          <w:color w:val="auto"/>
          <w:sz w:val="28"/>
          <w:szCs w:val="28"/>
        </w:rPr>
        <w:t xml:space="preserve">за 2005-2016 гг. </w:t>
      </w:r>
      <w:r w:rsidRPr="00147DCE">
        <w:rPr>
          <w:sz w:val="28"/>
          <w:szCs w:val="28"/>
        </w:rPr>
        <w:t>объём сброса загрязненных сточных вод</w:t>
      </w:r>
      <w:r w:rsidRPr="00147DCE">
        <w:rPr>
          <w:color w:val="auto"/>
          <w:sz w:val="28"/>
          <w:szCs w:val="28"/>
        </w:rPr>
        <w:t xml:space="preserve"> в среднем ежегодно снижался </w:t>
      </w:r>
      <w:r w:rsidRPr="00147DCE">
        <w:rPr>
          <w:sz w:val="28"/>
          <w:szCs w:val="28"/>
        </w:rPr>
        <w:t>на 273,5 млн. м</w:t>
      </w:r>
      <w:r w:rsidRPr="00147DCE">
        <w:rPr>
          <w:sz w:val="28"/>
          <w:szCs w:val="28"/>
          <w:vertAlign w:val="superscript"/>
        </w:rPr>
        <w:t xml:space="preserve">3 </w:t>
      </w:r>
      <w:r w:rsidRPr="00147DCE">
        <w:rPr>
          <w:sz w:val="28"/>
          <w:szCs w:val="28"/>
        </w:rPr>
        <w:t>или на 64,04%. Средний уровень объёма сброса загрязненных сточных вод за 12 лет составил 16051,58 млн. м</w:t>
      </w:r>
      <w:r w:rsidRPr="00147DCE">
        <w:rPr>
          <w:sz w:val="28"/>
          <w:szCs w:val="28"/>
          <w:vertAlign w:val="superscript"/>
        </w:rPr>
        <w:t>3</w:t>
      </w:r>
      <w:r w:rsidRPr="00147DCE">
        <w:rPr>
          <w:sz w:val="28"/>
          <w:szCs w:val="28"/>
        </w:rPr>
        <w:t>.</w:t>
      </w:r>
    </w:p>
    <w:p w:rsidR="00720EFE" w:rsidRPr="00147DCE" w:rsidRDefault="00720EFE" w:rsidP="00720EFE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Для анализа структурных сдвигов была рассмотрена структура объёма сброса загрязненных сточных вод в поверхностные водные объекты в РФ </w:t>
      </w:r>
      <w:r w:rsidRPr="00147DCE">
        <w:rPr>
          <w:rFonts w:ascii="Times New Roman" w:hAnsi="Times New Roman" w:cs="Times New Roman"/>
          <w:bCs/>
          <w:color w:val="000000"/>
          <w:sz w:val="28"/>
          <w:szCs w:val="28"/>
        </w:rPr>
        <w:t>по видам экономической деятельности</w:t>
      </w:r>
      <w:r w:rsidRPr="00147DCE">
        <w:rPr>
          <w:rFonts w:ascii="Times New Roman" w:hAnsi="Times New Roman" w:cs="Times New Roman"/>
          <w:sz w:val="28"/>
          <w:szCs w:val="28"/>
        </w:rPr>
        <w:t>.</w:t>
      </w:r>
    </w:p>
    <w:p w:rsidR="00720EFE" w:rsidRPr="00147DCE" w:rsidRDefault="00720EFE" w:rsidP="00720EFE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914650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0EFE" w:rsidRPr="00147DCE" w:rsidRDefault="00720EFE" w:rsidP="00720EF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Рис. </w:t>
      </w:r>
      <w:r w:rsidR="00147DCE" w:rsidRPr="00147DC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Структура 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>объёма сброса загрязненных сточных вод в поверхностные водные объекты</w:t>
      </w:r>
      <w:r w:rsidRPr="00147D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РФ по видам экономической деятельности, %</w:t>
      </w:r>
    </w:p>
    <w:p w:rsidR="00147DCE" w:rsidRPr="00147DCE" w:rsidRDefault="00147DCE" w:rsidP="00147DCE">
      <w:pPr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>Из рисунка 2 видно, что в 2005 г. и в 2016 г. наибольший удельный вес в структуре объёма сброса загрязненных сточных вод в поверхностные водные объекты по видам экономической деятельност</w:t>
      </w:r>
      <w:r w:rsidRPr="00147DCE">
        <w:rPr>
          <w:rFonts w:ascii="Times New Roman" w:hAnsi="Times New Roman" w:cs="Times New Roman"/>
          <w:bCs/>
          <w:sz w:val="28"/>
          <w:szCs w:val="28"/>
        </w:rPr>
        <w:t>и</w:t>
      </w:r>
      <w:r w:rsidRPr="00147DCE">
        <w:rPr>
          <w:rFonts w:ascii="Times New Roman" w:hAnsi="Times New Roman" w:cs="Times New Roman"/>
          <w:sz w:val="28"/>
          <w:szCs w:val="28"/>
        </w:rPr>
        <w:t xml:space="preserve"> занимал объём сброса </w:t>
      </w:r>
      <w:r w:rsidRPr="00147DCE"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  <w:r w:rsidRPr="00147DCE">
        <w:rPr>
          <w:rFonts w:ascii="Times New Roman" w:hAnsi="Times New Roman" w:cs="Times New Roman"/>
          <w:color w:val="000000"/>
          <w:sz w:val="28"/>
          <w:szCs w:val="28"/>
        </w:rPr>
        <w:t>производства и распределения электроэнергии, газа и воды</w:t>
      </w:r>
      <w:r w:rsidRPr="00147DCE">
        <w:rPr>
          <w:rFonts w:ascii="Times New Roman" w:hAnsi="Times New Roman" w:cs="Times New Roman"/>
          <w:sz w:val="28"/>
          <w:szCs w:val="28"/>
        </w:rPr>
        <w:t xml:space="preserve">, наименьший - от транспорта и связи. В структуре произошло сокращение объёмов сброса от </w:t>
      </w:r>
      <w:r w:rsidRPr="00147DCE">
        <w:rPr>
          <w:rFonts w:ascii="Times New Roman" w:hAnsi="Times New Roman" w:cs="Times New Roman"/>
          <w:color w:val="000000"/>
          <w:sz w:val="28"/>
          <w:szCs w:val="28"/>
        </w:rPr>
        <w:t>сельского хозяйства, охоты и лесного хозяйства, добычи полезных ископаемых и обрабатывающих производств</w:t>
      </w:r>
      <w:r w:rsidRPr="00147DCE">
        <w:rPr>
          <w:rFonts w:ascii="Times New Roman" w:hAnsi="Times New Roman" w:cs="Times New Roman"/>
          <w:sz w:val="28"/>
          <w:szCs w:val="28"/>
        </w:rPr>
        <w:t xml:space="preserve">, увеличение объёмов сброса загрязненных сточных вод </w:t>
      </w:r>
      <w:r w:rsidRPr="00147DCE">
        <w:rPr>
          <w:rFonts w:ascii="Times New Roman" w:hAnsi="Times New Roman" w:cs="Times New Roman"/>
          <w:color w:val="000000"/>
          <w:sz w:val="28"/>
          <w:szCs w:val="28"/>
        </w:rPr>
        <w:t>от предоставления прочих коммунальных, социальных и персональных услуг</w:t>
      </w:r>
      <w:r w:rsidRPr="00147DCE">
        <w:rPr>
          <w:rFonts w:ascii="Times New Roman" w:hAnsi="Times New Roman" w:cs="Times New Roman"/>
          <w:sz w:val="28"/>
          <w:szCs w:val="28"/>
        </w:rPr>
        <w:t>.</w:t>
      </w:r>
    </w:p>
    <w:p w:rsidR="00147DCE" w:rsidRPr="00147DCE" w:rsidRDefault="00147DCE" w:rsidP="00147DC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DCE">
        <w:rPr>
          <w:rFonts w:ascii="Times New Roman" w:hAnsi="Times New Roman" w:cs="Times New Roman"/>
          <w:sz w:val="28"/>
          <w:szCs w:val="28"/>
        </w:rPr>
        <w:t xml:space="preserve">В рамках статьи был осуществлен прогноз объёма сброса загрязненных сточных вод в поверхностные водные объекты в РФ на 2017-2019 гг. Результаты представлены в таблицах </w:t>
      </w:r>
      <w:r w:rsidR="00DC643B">
        <w:rPr>
          <w:rFonts w:ascii="Times New Roman" w:hAnsi="Times New Roman" w:cs="Times New Roman"/>
          <w:sz w:val="28"/>
          <w:szCs w:val="28"/>
        </w:rPr>
        <w:t>5</w:t>
      </w:r>
      <w:r w:rsidRPr="00147DCE">
        <w:rPr>
          <w:rFonts w:ascii="Times New Roman" w:hAnsi="Times New Roman" w:cs="Times New Roman"/>
          <w:sz w:val="28"/>
          <w:szCs w:val="28"/>
        </w:rPr>
        <w:t xml:space="preserve">, </w:t>
      </w:r>
      <w:r w:rsidR="00DC643B">
        <w:rPr>
          <w:rFonts w:ascii="Times New Roman" w:hAnsi="Times New Roman" w:cs="Times New Roman"/>
          <w:sz w:val="28"/>
          <w:szCs w:val="28"/>
        </w:rPr>
        <w:t>6</w:t>
      </w:r>
      <w:r w:rsidRPr="00147DCE">
        <w:rPr>
          <w:rFonts w:ascii="Times New Roman" w:hAnsi="Times New Roman" w:cs="Times New Roman"/>
          <w:sz w:val="28"/>
          <w:szCs w:val="28"/>
        </w:rPr>
        <w:t>.</w:t>
      </w:r>
    </w:p>
    <w:p w:rsidR="00147DCE" w:rsidRPr="00147DCE" w:rsidRDefault="00147DCE" w:rsidP="00147DC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DC64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47DCE" w:rsidRPr="00147DCE" w:rsidRDefault="00147DCE" w:rsidP="0014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Прогноз на основе среднего абсолютного прироста</w:t>
      </w:r>
    </w:p>
    <w:tbl>
      <w:tblPr>
        <w:tblW w:w="0" w:type="auto"/>
        <w:jc w:val="center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1334"/>
        <w:gridCol w:w="4573"/>
      </w:tblGrid>
      <w:tr w:rsidR="00147DCE" w:rsidRPr="00147DCE" w:rsidTr="00147DCE">
        <w:trPr>
          <w:jc w:val="center"/>
        </w:trPr>
        <w:tc>
          <w:tcPr>
            <w:tcW w:w="1658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334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  <w:position w:val="-4"/>
              </w:rPr>
              <w:object w:dxaOrig="220" w:dyaOrig="260">
                <v:shape id="_x0000_i1027" type="#_x0000_t75" style="width:10.75pt;height:12.9pt" o:ole="">
                  <v:imagedata r:id="rId6" o:title=""/>
                </v:shape>
                <o:OLEObject Type="Embed" ProgID="Equation.3" ShapeID="_x0000_i1027" DrawAspect="Content" ObjectID="_1575292976" r:id="rId10"/>
              </w:object>
            </w:r>
          </w:p>
        </w:tc>
        <w:tc>
          <w:tcPr>
            <w:tcW w:w="4573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Прогнозные значения</w:t>
            </w:r>
          </w:p>
        </w:tc>
      </w:tr>
      <w:tr w:rsidR="00147DCE" w:rsidRPr="00147DCE" w:rsidTr="00147DCE">
        <w:trPr>
          <w:trHeight w:val="162"/>
          <w:jc w:val="center"/>
        </w:trPr>
        <w:tc>
          <w:tcPr>
            <w:tcW w:w="1658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34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2017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273,5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1=14445,5</m:t>
                </m:r>
              </m:oMath>
            </m:oMathPara>
          </w:p>
        </w:tc>
      </w:tr>
      <w:tr w:rsidR="00147DCE" w:rsidRPr="00147DCE" w:rsidTr="00147DCE">
        <w:trPr>
          <w:jc w:val="center"/>
        </w:trPr>
        <w:tc>
          <w:tcPr>
            <w:tcW w:w="1658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34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2018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273,5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2=14172,0</m:t>
                </m:r>
              </m:oMath>
            </m:oMathPara>
          </w:p>
        </w:tc>
      </w:tr>
      <w:tr w:rsidR="00147DCE" w:rsidRPr="00147DCE" w:rsidTr="00147DCE">
        <w:trPr>
          <w:jc w:val="center"/>
        </w:trPr>
        <w:tc>
          <w:tcPr>
            <w:tcW w:w="1658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34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2019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  <w:color w:val="000000"/>
                  </w:rPr>
                  <m:t>-</m:t>
                </m:r>
                <m:r>
                  <w:rPr>
                    <w:rFonts w:ascii="Cambria Math" w:hAnsi="Times New Roman" w:cs="Times New Roman"/>
                    <w:color w:val="000000"/>
                  </w:rPr>
                  <m:t>273,5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3=13898,5</m:t>
                </m:r>
              </m:oMath>
            </m:oMathPara>
          </w:p>
        </w:tc>
      </w:tr>
    </w:tbl>
    <w:p w:rsidR="00147DCE" w:rsidRPr="00147DCE" w:rsidRDefault="00147DCE" w:rsidP="00147DCE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147DCE" w:rsidRPr="00147DCE" w:rsidRDefault="00147DCE" w:rsidP="00147DC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47DCE">
        <w:rPr>
          <w:rFonts w:ascii="Times New Roman" w:hAnsi="Times New Roman" w:cs="Times New Roman"/>
          <w:b/>
          <w:i/>
          <w:sz w:val="28"/>
          <w:szCs w:val="28"/>
        </w:rPr>
        <w:t xml:space="preserve">Таблица </w:t>
      </w:r>
      <w:r w:rsidR="00DC643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47DC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7DCE" w:rsidRPr="00147DCE" w:rsidRDefault="00147DCE" w:rsidP="0014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Прогноз на основе среднего темпа роста</w:t>
      </w:r>
    </w:p>
    <w:tbl>
      <w:tblPr>
        <w:tblW w:w="0" w:type="auto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9"/>
        <w:gridCol w:w="1276"/>
        <w:gridCol w:w="4573"/>
      </w:tblGrid>
      <w:tr w:rsidR="00147DCE" w:rsidRPr="00147DCE" w:rsidTr="00147DCE">
        <w:trPr>
          <w:jc w:val="center"/>
        </w:trPr>
        <w:tc>
          <w:tcPr>
            <w:tcW w:w="1629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276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  <w:position w:val="-4"/>
              </w:rPr>
              <w:object w:dxaOrig="220" w:dyaOrig="260">
                <v:shape id="_x0000_i1028" type="#_x0000_t75" style="width:10.75pt;height:12.9pt" o:ole="">
                  <v:imagedata r:id="rId6" o:title=""/>
                </v:shape>
                <o:OLEObject Type="Embed" ProgID="Equation.3" ShapeID="_x0000_i1028" DrawAspect="Content" ObjectID="_1575292977" r:id="rId11"/>
              </w:object>
            </w:r>
          </w:p>
        </w:tc>
        <w:tc>
          <w:tcPr>
            <w:tcW w:w="4573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Прогнозные значения</w:t>
            </w:r>
          </w:p>
        </w:tc>
      </w:tr>
      <w:tr w:rsidR="00147DCE" w:rsidRPr="00147DCE" w:rsidTr="00147DCE">
        <w:trPr>
          <w:jc w:val="center"/>
        </w:trPr>
        <w:tc>
          <w:tcPr>
            <w:tcW w:w="1629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2017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r>
                  <w:rPr>
                    <w:rFonts w:ascii="Cambria Math" w:hAnsi="Times New Roman" w:cs="Times New Roman"/>
                  </w:rPr>
                  <m:t>0,36=5298,84</m:t>
                </m:r>
              </m:oMath>
            </m:oMathPara>
          </w:p>
        </w:tc>
      </w:tr>
      <w:tr w:rsidR="00147DCE" w:rsidRPr="00147DCE" w:rsidTr="00147DCE">
        <w:trPr>
          <w:jc w:val="center"/>
        </w:trPr>
        <w:tc>
          <w:tcPr>
            <w:tcW w:w="1629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2018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0,36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=1907,58</m:t>
                </m:r>
              </m:oMath>
            </m:oMathPara>
          </w:p>
        </w:tc>
      </w:tr>
      <w:tr w:rsidR="00147DCE" w:rsidRPr="00147DCE" w:rsidTr="00147DCE">
        <w:trPr>
          <w:jc w:val="center"/>
        </w:trPr>
        <w:tc>
          <w:tcPr>
            <w:tcW w:w="1629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147DCE" w:rsidRPr="00147DCE" w:rsidRDefault="00147DCE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7D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3" w:type="dxa"/>
            <w:vAlign w:val="center"/>
          </w:tcPr>
          <w:p w:rsidR="00147DCE" w:rsidRPr="00147DCE" w:rsidRDefault="002364DB" w:rsidP="00147DC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</w:rPr>
                      <m:t>2019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/>
                  </w:rPr>
                  <m:t>14719,0</m:t>
                </m:r>
                <m:r>
                  <w:rPr>
                    <w:rFonts w:ascii="Times New Roman" w:hAnsi="Times New Roman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0,36</m:t>
                    </m:r>
                  </m:e>
                  <m:sup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</w:rPr>
                  <m:t>=686,73</m:t>
                </m:r>
              </m:oMath>
            </m:oMathPara>
          </w:p>
        </w:tc>
      </w:tr>
    </w:tbl>
    <w:p w:rsidR="00147DCE" w:rsidRPr="00147DCE" w:rsidRDefault="00147DCE" w:rsidP="00147DCE">
      <w:pPr>
        <w:rPr>
          <w:rFonts w:ascii="Times New Roman" w:eastAsia="Times New Roman" w:hAnsi="Times New Roman" w:cs="Times New Roman"/>
          <w:lang w:eastAsia="ru-RU"/>
        </w:rPr>
      </w:pPr>
    </w:p>
    <w:p w:rsidR="00147DCE" w:rsidRPr="00147DCE" w:rsidRDefault="00147DCE" w:rsidP="00147D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прогноза, построенного на основе среднего абсолютного прироста, объём сброса загрязненных сточных вод в поверхностные водные объекты в РФ к 2019 г. составит 13898,5 млн. м</w:t>
      </w:r>
      <w:r w:rsidRPr="00147D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EFE" w:rsidRDefault="00147DCE" w:rsidP="00147D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 на основе среднего темпа роста позволяет утверждать, что объём сброса загрязненных сточных вод в поверхностные водные объекты в РФ к 2019 г. составит 686,73 млн. м</w:t>
      </w:r>
      <w:r w:rsidRPr="00147DC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47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B70" w:rsidRPr="00147DCE" w:rsidRDefault="00270B70" w:rsidP="00270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CE">
        <w:rPr>
          <w:rFonts w:ascii="Times New Roman" w:hAnsi="Times New Roman" w:cs="Times New Roman"/>
          <w:b/>
          <w:sz w:val="28"/>
          <w:szCs w:val="28"/>
        </w:rPr>
        <w:t>Использованные источники:</w:t>
      </w:r>
    </w:p>
    <w:p w:rsidR="00147DCE" w:rsidRDefault="00147DCE" w:rsidP="00147DCE">
      <w:pPr>
        <w:pStyle w:val="Default"/>
        <w:numPr>
          <w:ilvl w:val="0"/>
          <w:numId w:val="1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Иванов Ю.Н. </w:t>
      </w:r>
      <w:r w:rsidRPr="00E52334">
        <w:rPr>
          <w:color w:val="auto"/>
          <w:sz w:val="28"/>
          <w:szCs w:val="28"/>
        </w:rPr>
        <w:t xml:space="preserve">Экономическая статистика: </w:t>
      </w:r>
      <w:r>
        <w:rPr>
          <w:color w:val="auto"/>
          <w:sz w:val="28"/>
          <w:szCs w:val="28"/>
        </w:rPr>
        <w:t>у</w:t>
      </w:r>
      <w:r w:rsidRPr="00E52334">
        <w:rPr>
          <w:color w:val="auto"/>
          <w:sz w:val="28"/>
          <w:szCs w:val="28"/>
        </w:rPr>
        <w:t>чебник.</w:t>
      </w:r>
      <w:r>
        <w:rPr>
          <w:color w:val="auto"/>
          <w:sz w:val="28"/>
          <w:szCs w:val="28"/>
        </w:rPr>
        <w:t xml:space="preserve"> -</w:t>
      </w:r>
      <w:r w:rsidRPr="00E52334">
        <w:rPr>
          <w:color w:val="auto"/>
          <w:sz w:val="28"/>
          <w:szCs w:val="28"/>
        </w:rPr>
        <w:t xml:space="preserve"> М.: ИНФРА-М., 2012. </w:t>
      </w:r>
      <w:r>
        <w:rPr>
          <w:color w:val="auto"/>
          <w:sz w:val="28"/>
          <w:szCs w:val="28"/>
        </w:rPr>
        <w:t xml:space="preserve">– </w:t>
      </w:r>
      <w:r w:rsidRPr="00E52334">
        <w:rPr>
          <w:color w:val="auto"/>
          <w:sz w:val="28"/>
          <w:szCs w:val="28"/>
        </w:rPr>
        <w:t>480</w:t>
      </w:r>
      <w:r>
        <w:rPr>
          <w:color w:val="auto"/>
          <w:sz w:val="28"/>
          <w:szCs w:val="28"/>
        </w:rPr>
        <w:t xml:space="preserve"> с.</w:t>
      </w:r>
    </w:p>
    <w:p w:rsidR="00147DCE" w:rsidRPr="008820AC" w:rsidRDefault="00147DCE" w:rsidP="008820AC">
      <w:pPr>
        <w:pStyle w:val="a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20AC">
        <w:rPr>
          <w:sz w:val="28"/>
          <w:szCs w:val="28"/>
          <w:shd w:val="clear" w:color="auto" w:fill="FFFFFF"/>
        </w:rPr>
        <w:t xml:space="preserve">Ковалев В.В. </w:t>
      </w:r>
      <w:r w:rsidRPr="008820AC">
        <w:rPr>
          <w:bCs/>
          <w:sz w:val="28"/>
          <w:szCs w:val="28"/>
          <w:shd w:val="clear" w:color="auto" w:fill="FFFFFF"/>
        </w:rPr>
        <w:t>Социально-экономическая статистика</w:t>
      </w:r>
      <w:r w:rsidRPr="008820AC">
        <w:rPr>
          <w:sz w:val="28"/>
          <w:szCs w:val="28"/>
          <w:shd w:val="clear" w:color="auto" w:fill="FFFFFF"/>
        </w:rPr>
        <w:t xml:space="preserve">: учебник. - СПб: СПбГУ, 2014. - 328 </w:t>
      </w:r>
      <w:proofErr w:type="gramStart"/>
      <w:r w:rsidRPr="008820AC">
        <w:rPr>
          <w:sz w:val="28"/>
          <w:szCs w:val="28"/>
          <w:shd w:val="clear" w:color="auto" w:fill="FFFFFF"/>
        </w:rPr>
        <w:t>с</w:t>
      </w:r>
      <w:proofErr w:type="gramEnd"/>
      <w:r w:rsidRPr="008820AC">
        <w:rPr>
          <w:sz w:val="28"/>
          <w:szCs w:val="28"/>
          <w:shd w:val="clear" w:color="auto" w:fill="FFFFFF"/>
        </w:rPr>
        <w:t>.</w:t>
      </w:r>
    </w:p>
    <w:p w:rsidR="00640DE6" w:rsidRPr="008820AC" w:rsidRDefault="00640DE6" w:rsidP="008820AC">
      <w:pPr>
        <w:pStyle w:val="a7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820AC">
        <w:rPr>
          <w:sz w:val="28"/>
          <w:szCs w:val="28"/>
        </w:rPr>
        <w:t xml:space="preserve">Назаров М.Г. Курс социально-экономической статистики: учебник для вузов. - М.: </w:t>
      </w:r>
      <w:proofErr w:type="spellStart"/>
      <w:r w:rsidRPr="008820AC">
        <w:rPr>
          <w:sz w:val="28"/>
          <w:szCs w:val="28"/>
        </w:rPr>
        <w:t>Финстатинформ</w:t>
      </w:r>
      <w:proofErr w:type="spellEnd"/>
      <w:r w:rsidRPr="008820AC">
        <w:rPr>
          <w:sz w:val="28"/>
          <w:szCs w:val="28"/>
        </w:rPr>
        <w:t>, ЮНИТИ-ДАНА, 2002. - 771 с.</w:t>
      </w:r>
    </w:p>
    <w:p w:rsidR="00640DE6" w:rsidRPr="008820AC" w:rsidRDefault="00640DE6" w:rsidP="008820A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820AC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(Росстат) [Электронный ресурс]. Режим доступа:</w:t>
      </w:r>
    </w:p>
    <w:p w:rsidR="00640DE6" w:rsidRPr="008820AC" w:rsidRDefault="002364DB" w:rsidP="008820AC">
      <w:pPr>
        <w:tabs>
          <w:tab w:val="left" w:pos="1134"/>
        </w:tabs>
        <w:jc w:val="left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40DE6" w:rsidRPr="008820A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http://www.gks.ru/wps/wcm/connect/rosstat_main/rosstat/ru/statistics/environment/</w:t>
        </w:r>
      </w:hyperlink>
    </w:p>
    <w:p w:rsidR="008820AC" w:rsidRPr="008820AC" w:rsidRDefault="008820AC" w:rsidP="008820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820AC">
        <w:rPr>
          <w:rFonts w:ascii="Times New Roman" w:hAnsi="Times New Roman" w:cs="Times New Roman"/>
          <w:sz w:val="28"/>
          <w:szCs w:val="28"/>
        </w:rPr>
        <w:t>5. Золотова Л.В., Лаптева Е.В., Портнова Л.В. Статистическая оценка влияния сберегательного поведения населения на современное состо</w:t>
      </w:r>
      <w:r w:rsidRPr="008820AC">
        <w:rPr>
          <w:rFonts w:ascii="Times New Roman" w:hAnsi="Times New Roman" w:cs="Times New Roman"/>
          <w:sz w:val="28"/>
          <w:szCs w:val="28"/>
        </w:rPr>
        <w:t>я</w:t>
      </w:r>
      <w:r w:rsidRPr="008820AC">
        <w:rPr>
          <w:rFonts w:ascii="Times New Roman" w:hAnsi="Times New Roman" w:cs="Times New Roman"/>
          <w:sz w:val="28"/>
          <w:szCs w:val="28"/>
        </w:rPr>
        <w:t>ния банковского сектора России // Экономика и предпринимательство, 2015. - №6-3(59-3). – С. 53-59.</w:t>
      </w:r>
    </w:p>
    <w:p w:rsidR="008820AC" w:rsidRPr="008820AC" w:rsidRDefault="008820AC" w:rsidP="008820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8820AC">
        <w:rPr>
          <w:rFonts w:ascii="Times New Roman" w:hAnsi="Times New Roman" w:cs="Times New Roman"/>
          <w:sz w:val="28"/>
          <w:szCs w:val="28"/>
          <w:lang w:val="en-US"/>
        </w:rPr>
        <w:t xml:space="preserve">6. Zolotova L.V., </w:t>
      </w:r>
      <w:proofErr w:type="spellStart"/>
      <w:r w:rsidRPr="008820AC">
        <w:rPr>
          <w:rFonts w:ascii="Times New Roman" w:hAnsi="Times New Roman" w:cs="Times New Roman"/>
          <w:sz w:val="28"/>
          <w:szCs w:val="28"/>
          <w:lang w:val="en-US"/>
        </w:rPr>
        <w:t>Lapteva</w:t>
      </w:r>
      <w:proofErr w:type="spellEnd"/>
      <w:r w:rsidRPr="008820AC">
        <w:rPr>
          <w:rFonts w:ascii="Times New Roman" w:hAnsi="Times New Roman" w:cs="Times New Roman"/>
          <w:sz w:val="28"/>
          <w:szCs w:val="28"/>
          <w:lang w:val="en-US"/>
        </w:rPr>
        <w:t xml:space="preserve"> E.V., Portnova L.V. Assessment of influence the level of personal savings on the dynamics of banking sector indices // European Journal of Glass Science and Technology. Materials of the X </w:t>
      </w:r>
      <w:proofErr w:type="gramStart"/>
      <w:r w:rsidRPr="008820AC">
        <w:rPr>
          <w:rFonts w:ascii="Times New Roman" w:hAnsi="Times New Roman" w:cs="Times New Roman"/>
          <w:sz w:val="28"/>
          <w:szCs w:val="28"/>
          <w:lang w:val="en-US"/>
        </w:rPr>
        <w:t>intern</w:t>
      </w:r>
      <w:r w:rsidRPr="008820A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820AC">
        <w:rPr>
          <w:rFonts w:ascii="Times New Roman" w:hAnsi="Times New Roman" w:cs="Times New Roman"/>
          <w:sz w:val="28"/>
          <w:szCs w:val="28"/>
          <w:lang w:val="en-US"/>
        </w:rPr>
        <w:t>tional  research</w:t>
      </w:r>
      <w:proofErr w:type="gramEnd"/>
      <w:r w:rsidRPr="008820AC">
        <w:rPr>
          <w:rFonts w:ascii="Times New Roman" w:hAnsi="Times New Roman" w:cs="Times New Roman"/>
          <w:sz w:val="28"/>
          <w:szCs w:val="28"/>
          <w:lang w:val="en-US"/>
        </w:rPr>
        <w:t xml:space="preserve">  and  practice conference, 2015. – C.  </w:t>
      </w:r>
      <w:proofErr w:type="gramStart"/>
      <w:r w:rsidRPr="008820AC">
        <w:rPr>
          <w:rFonts w:ascii="Times New Roman" w:hAnsi="Times New Roman" w:cs="Times New Roman"/>
          <w:sz w:val="28"/>
          <w:szCs w:val="28"/>
          <w:lang w:val="en-US"/>
        </w:rPr>
        <w:t>234-243.</w:t>
      </w:r>
      <w:proofErr w:type="gramEnd"/>
    </w:p>
    <w:p w:rsidR="008820AC" w:rsidRPr="008820AC" w:rsidRDefault="008820AC" w:rsidP="008820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820AC">
        <w:rPr>
          <w:rFonts w:ascii="Times New Roman" w:hAnsi="Times New Roman" w:cs="Times New Roman"/>
          <w:sz w:val="28"/>
          <w:szCs w:val="28"/>
        </w:rPr>
        <w:t>7. Лаптева Е.В. Статистическое  исследование уровня сберегател</w:t>
      </w:r>
      <w:r w:rsidRPr="008820AC">
        <w:rPr>
          <w:rFonts w:ascii="Times New Roman" w:hAnsi="Times New Roman" w:cs="Times New Roman"/>
          <w:sz w:val="28"/>
          <w:szCs w:val="28"/>
        </w:rPr>
        <w:t>ь</w:t>
      </w:r>
      <w:r w:rsidRPr="008820AC">
        <w:rPr>
          <w:rFonts w:ascii="Times New Roman" w:hAnsi="Times New Roman" w:cs="Times New Roman"/>
          <w:sz w:val="28"/>
          <w:szCs w:val="28"/>
        </w:rPr>
        <w:t>ной активности населения Российской Федерации // Вестник Оренбур</w:t>
      </w:r>
      <w:r w:rsidRPr="008820AC">
        <w:rPr>
          <w:rFonts w:ascii="Times New Roman" w:hAnsi="Times New Roman" w:cs="Times New Roman"/>
          <w:sz w:val="28"/>
          <w:szCs w:val="28"/>
        </w:rPr>
        <w:t>г</w:t>
      </w:r>
      <w:r w:rsidRPr="008820AC">
        <w:rPr>
          <w:rFonts w:ascii="Times New Roman" w:hAnsi="Times New Roman" w:cs="Times New Roman"/>
          <w:sz w:val="28"/>
          <w:szCs w:val="28"/>
        </w:rPr>
        <w:t>ского государственного университета, 2016. - № 13 (188). – С. 53-59.</w:t>
      </w:r>
    </w:p>
    <w:p w:rsidR="008820AC" w:rsidRPr="008820AC" w:rsidRDefault="008820AC" w:rsidP="008820A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8820AC">
        <w:rPr>
          <w:rFonts w:ascii="Times New Roman" w:hAnsi="Times New Roman" w:cs="Times New Roman"/>
          <w:sz w:val="28"/>
          <w:szCs w:val="28"/>
        </w:rPr>
        <w:t>8. Коробейникова Е.В., Лаптева Е.В.  Прогнозирование основных индикаторов уровня развития банковского сектора  Российской Федер</w:t>
      </w:r>
      <w:r w:rsidRPr="008820AC">
        <w:rPr>
          <w:rFonts w:ascii="Times New Roman" w:hAnsi="Times New Roman" w:cs="Times New Roman"/>
          <w:sz w:val="28"/>
          <w:szCs w:val="28"/>
        </w:rPr>
        <w:t>а</w:t>
      </w:r>
      <w:r w:rsidRPr="008820AC">
        <w:rPr>
          <w:rFonts w:ascii="Times New Roman" w:hAnsi="Times New Roman" w:cs="Times New Roman"/>
          <w:sz w:val="28"/>
          <w:szCs w:val="28"/>
        </w:rPr>
        <w:t>ции  // Наука Красноярья, 2016. -  № 2 (25). – С. 190-201.</w:t>
      </w:r>
    </w:p>
    <w:p w:rsidR="00650AC3" w:rsidRDefault="00650AC3" w:rsidP="008820AC">
      <w:pPr>
        <w:pStyle w:val="a7"/>
        <w:spacing w:line="240" w:lineRule="auto"/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Контактное лицо для связи:</w:t>
      </w:r>
    </w:p>
    <w:p w:rsidR="00650AC3" w:rsidRDefault="00650AC3" w:rsidP="008820AC">
      <w:pPr>
        <w:pStyle w:val="a7"/>
        <w:spacing w:line="240" w:lineRule="auto"/>
        <w:ind w:left="567" w:right="-1"/>
        <w:jc w:val="center"/>
        <w:rPr>
          <w:sz w:val="28"/>
          <w:szCs w:val="28"/>
        </w:rPr>
      </w:pPr>
      <w:r>
        <w:rPr>
          <w:sz w:val="28"/>
          <w:szCs w:val="28"/>
        </w:rPr>
        <w:t>Телефон: 89058142691.</w:t>
      </w:r>
    </w:p>
    <w:p w:rsidR="00270B70" w:rsidRPr="003477FB" w:rsidRDefault="00650AC3" w:rsidP="008820AC">
      <w:pPr>
        <w:pStyle w:val="a7"/>
        <w:spacing w:line="240" w:lineRule="auto"/>
        <w:ind w:left="567" w:right="-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650AC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masha</w:t>
      </w:r>
      <w:proofErr w:type="spellEnd"/>
      <w:r w:rsidRPr="003477FB">
        <w:rPr>
          <w:sz w:val="28"/>
          <w:szCs w:val="28"/>
        </w:rPr>
        <w:t>010898</w:t>
      </w:r>
      <w:r w:rsidRPr="005273CA">
        <w:rPr>
          <w:sz w:val="28"/>
          <w:szCs w:val="28"/>
        </w:rPr>
        <w:t>@mail.ru</w:t>
      </w:r>
    </w:p>
    <w:sectPr w:rsidR="00270B70" w:rsidRPr="003477FB" w:rsidSect="00DC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168D"/>
    <w:multiLevelType w:val="hybridMultilevel"/>
    <w:tmpl w:val="48E4B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51CCB"/>
    <w:multiLevelType w:val="hybridMultilevel"/>
    <w:tmpl w:val="B5061A00"/>
    <w:lvl w:ilvl="0" w:tplc="11960E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1FC7"/>
    <w:rsid w:val="0001350E"/>
    <w:rsid w:val="00023E06"/>
    <w:rsid w:val="0003037F"/>
    <w:rsid w:val="00032D1A"/>
    <w:rsid w:val="00037FF6"/>
    <w:rsid w:val="0004016C"/>
    <w:rsid w:val="00043541"/>
    <w:rsid w:val="00044E4C"/>
    <w:rsid w:val="000516C9"/>
    <w:rsid w:val="00053FF7"/>
    <w:rsid w:val="000579E0"/>
    <w:rsid w:val="000600C4"/>
    <w:rsid w:val="00062916"/>
    <w:rsid w:val="0006337C"/>
    <w:rsid w:val="00063C62"/>
    <w:rsid w:val="0006796D"/>
    <w:rsid w:val="0008059E"/>
    <w:rsid w:val="00083980"/>
    <w:rsid w:val="00084919"/>
    <w:rsid w:val="0009078C"/>
    <w:rsid w:val="00093E3C"/>
    <w:rsid w:val="000956E5"/>
    <w:rsid w:val="000A118A"/>
    <w:rsid w:val="000A1B0B"/>
    <w:rsid w:val="000A29B8"/>
    <w:rsid w:val="000A7F9C"/>
    <w:rsid w:val="000B330F"/>
    <w:rsid w:val="000B3935"/>
    <w:rsid w:val="000B6F2A"/>
    <w:rsid w:val="000C4F84"/>
    <w:rsid w:val="000C6CB2"/>
    <w:rsid w:val="000C780B"/>
    <w:rsid w:val="000D268F"/>
    <w:rsid w:val="000D3DC8"/>
    <w:rsid w:val="000D571F"/>
    <w:rsid w:val="000E742F"/>
    <w:rsid w:val="000F5863"/>
    <w:rsid w:val="00103D37"/>
    <w:rsid w:val="00104510"/>
    <w:rsid w:val="001077B2"/>
    <w:rsid w:val="00110576"/>
    <w:rsid w:val="001129E4"/>
    <w:rsid w:val="00112B1E"/>
    <w:rsid w:val="00120A25"/>
    <w:rsid w:val="00121415"/>
    <w:rsid w:val="00122127"/>
    <w:rsid w:val="00122326"/>
    <w:rsid w:val="00127E1E"/>
    <w:rsid w:val="00145704"/>
    <w:rsid w:val="001468AD"/>
    <w:rsid w:val="00147DCE"/>
    <w:rsid w:val="00151D1F"/>
    <w:rsid w:val="001546AF"/>
    <w:rsid w:val="00155988"/>
    <w:rsid w:val="001609A5"/>
    <w:rsid w:val="00163324"/>
    <w:rsid w:val="0016415A"/>
    <w:rsid w:val="001675C7"/>
    <w:rsid w:val="00182622"/>
    <w:rsid w:val="00183BED"/>
    <w:rsid w:val="001857DE"/>
    <w:rsid w:val="001865C1"/>
    <w:rsid w:val="001867D9"/>
    <w:rsid w:val="001871FD"/>
    <w:rsid w:val="00187483"/>
    <w:rsid w:val="001901C5"/>
    <w:rsid w:val="0019080E"/>
    <w:rsid w:val="001917BD"/>
    <w:rsid w:val="00193B45"/>
    <w:rsid w:val="001A1514"/>
    <w:rsid w:val="001A4DA2"/>
    <w:rsid w:val="001A6850"/>
    <w:rsid w:val="001B1DC4"/>
    <w:rsid w:val="001B7D73"/>
    <w:rsid w:val="001C3F1A"/>
    <w:rsid w:val="001E1F41"/>
    <w:rsid w:val="001E57C2"/>
    <w:rsid w:val="001E705A"/>
    <w:rsid w:val="001E7C68"/>
    <w:rsid w:val="001F1EEF"/>
    <w:rsid w:val="001F656B"/>
    <w:rsid w:val="001F7727"/>
    <w:rsid w:val="00215ACA"/>
    <w:rsid w:val="0021766C"/>
    <w:rsid w:val="0022119D"/>
    <w:rsid w:val="002214B0"/>
    <w:rsid w:val="002241D5"/>
    <w:rsid w:val="00225746"/>
    <w:rsid w:val="0022749E"/>
    <w:rsid w:val="002358D3"/>
    <w:rsid w:val="002364DB"/>
    <w:rsid w:val="00242951"/>
    <w:rsid w:val="00250763"/>
    <w:rsid w:val="00253F8A"/>
    <w:rsid w:val="002549B5"/>
    <w:rsid w:val="00256039"/>
    <w:rsid w:val="00270281"/>
    <w:rsid w:val="00270B70"/>
    <w:rsid w:val="00271F84"/>
    <w:rsid w:val="0027274F"/>
    <w:rsid w:val="00273C94"/>
    <w:rsid w:val="00276C8C"/>
    <w:rsid w:val="00277AC7"/>
    <w:rsid w:val="0028131E"/>
    <w:rsid w:val="002819A3"/>
    <w:rsid w:val="00282B10"/>
    <w:rsid w:val="002834B4"/>
    <w:rsid w:val="00294203"/>
    <w:rsid w:val="002A574E"/>
    <w:rsid w:val="002A6C7C"/>
    <w:rsid w:val="002C1A8E"/>
    <w:rsid w:val="002C4D6B"/>
    <w:rsid w:val="002C61EF"/>
    <w:rsid w:val="002C66A2"/>
    <w:rsid w:val="002D2483"/>
    <w:rsid w:val="002D3A90"/>
    <w:rsid w:val="002D4AB3"/>
    <w:rsid w:val="002E67E4"/>
    <w:rsid w:val="002E77F5"/>
    <w:rsid w:val="002F3ABE"/>
    <w:rsid w:val="002F425B"/>
    <w:rsid w:val="002F6482"/>
    <w:rsid w:val="002F7952"/>
    <w:rsid w:val="0030006B"/>
    <w:rsid w:val="00300E18"/>
    <w:rsid w:val="00301F84"/>
    <w:rsid w:val="00302349"/>
    <w:rsid w:val="00305FD9"/>
    <w:rsid w:val="00306756"/>
    <w:rsid w:val="00310116"/>
    <w:rsid w:val="00312E37"/>
    <w:rsid w:val="00315529"/>
    <w:rsid w:val="0031553D"/>
    <w:rsid w:val="003158DB"/>
    <w:rsid w:val="00320351"/>
    <w:rsid w:val="00324E2A"/>
    <w:rsid w:val="00325C39"/>
    <w:rsid w:val="00331B3A"/>
    <w:rsid w:val="003343D9"/>
    <w:rsid w:val="00336771"/>
    <w:rsid w:val="003411E1"/>
    <w:rsid w:val="00342EEB"/>
    <w:rsid w:val="003438B5"/>
    <w:rsid w:val="00346B7F"/>
    <w:rsid w:val="003477FB"/>
    <w:rsid w:val="00355A97"/>
    <w:rsid w:val="0035738E"/>
    <w:rsid w:val="00363FB3"/>
    <w:rsid w:val="003732B0"/>
    <w:rsid w:val="0037427D"/>
    <w:rsid w:val="00377C9D"/>
    <w:rsid w:val="00381414"/>
    <w:rsid w:val="003815E1"/>
    <w:rsid w:val="00382363"/>
    <w:rsid w:val="00384000"/>
    <w:rsid w:val="00384FE9"/>
    <w:rsid w:val="003864E6"/>
    <w:rsid w:val="003906D0"/>
    <w:rsid w:val="00391418"/>
    <w:rsid w:val="00391A7D"/>
    <w:rsid w:val="003927B8"/>
    <w:rsid w:val="00395DD6"/>
    <w:rsid w:val="00396628"/>
    <w:rsid w:val="00396D4A"/>
    <w:rsid w:val="003A088B"/>
    <w:rsid w:val="003A2142"/>
    <w:rsid w:val="003A2292"/>
    <w:rsid w:val="003A35C9"/>
    <w:rsid w:val="003A472F"/>
    <w:rsid w:val="003A5899"/>
    <w:rsid w:val="003A5E70"/>
    <w:rsid w:val="003B1877"/>
    <w:rsid w:val="003B1A0A"/>
    <w:rsid w:val="003B4385"/>
    <w:rsid w:val="003B4F72"/>
    <w:rsid w:val="003B5A42"/>
    <w:rsid w:val="003C0838"/>
    <w:rsid w:val="003C1DFF"/>
    <w:rsid w:val="003D3442"/>
    <w:rsid w:val="003D4988"/>
    <w:rsid w:val="003D6794"/>
    <w:rsid w:val="003D784F"/>
    <w:rsid w:val="003E29CB"/>
    <w:rsid w:val="003E31A0"/>
    <w:rsid w:val="003E385C"/>
    <w:rsid w:val="003E5D7D"/>
    <w:rsid w:val="003F1643"/>
    <w:rsid w:val="003F4313"/>
    <w:rsid w:val="003F71F4"/>
    <w:rsid w:val="00400C2D"/>
    <w:rsid w:val="004013B8"/>
    <w:rsid w:val="0040352F"/>
    <w:rsid w:val="004054B8"/>
    <w:rsid w:val="0040695B"/>
    <w:rsid w:val="0041005F"/>
    <w:rsid w:val="00413A48"/>
    <w:rsid w:val="00416D45"/>
    <w:rsid w:val="00424CF2"/>
    <w:rsid w:val="0042525C"/>
    <w:rsid w:val="00432455"/>
    <w:rsid w:val="0043478E"/>
    <w:rsid w:val="004350D1"/>
    <w:rsid w:val="00435F5E"/>
    <w:rsid w:val="004377D2"/>
    <w:rsid w:val="004417FB"/>
    <w:rsid w:val="0044199A"/>
    <w:rsid w:val="004473A6"/>
    <w:rsid w:val="00451734"/>
    <w:rsid w:val="00451BE5"/>
    <w:rsid w:val="004520A1"/>
    <w:rsid w:val="00453691"/>
    <w:rsid w:val="00455951"/>
    <w:rsid w:val="004662DE"/>
    <w:rsid w:val="00473F89"/>
    <w:rsid w:val="00475831"/>
    <w:rsid w:val="0047641F"/>
    <w:rsid w:val="0047795F"/>
    <w:rsid w:val="00491F56"/>
    <w:rsid w:val="004A3DCD"/>
    <w:rsid w:val="004A6E63"/>
    <w:rsid w:val="004A7AE1"/>
    <w:rsid w:val="004B0E92"/>
    <w:rsid w:val="004B349D"/>
    <w:rsid w:val="004B679A"/>
    <w:rsid w:val="004B7270"/>
    <w:rsid w:val="004D0D5B"/>
    <w:rsid w:val="004D6D4C"/>
    <w:rsid w:val="004D721F"/>
    <w:rsid w:val="004E1BE0"/>
    <w:rsid w:val="004E3C38"/>
    <w:rsid w:val="004E3F97"/>
    <w:rsid w:val="004E644E"/>
    <w:rsid w:val="004F006B"/>
    <w:rsid w:val="004F4E8D"/>
    <w:rsid w:val="004F60EC"/>
    <w:rsid w:val="00501B4D"/>
    <w:rsid w:val="00503AF6"/>
    <w:rsid w:val="00505A78"/>
    <w:rsid w:val="00510EF0"/>
    <w:rsid w:val="0051266C"/>
    <w:rsid w:val="00514760"/>
    <w:rsid w:val="00515F7F"/>
    <w:rsid w:val="0052170A"/>
    <w:rsid w:val="005339C8"/>
    <w:rsid w:val="00537513"/>
    <w:rsid w:val="005426DB"/>
    <w:rsid w:val="005446BA"/>
    <w:rsid w:val="00544860"/>
    <w:rsid w:val="005470F1"/>
    <w:rsid w:val="0054733F"/>
    <w:rsid w:val="00550EEE"/>
    <w:rsid w:val="005575AB"/>
    <w:rsid w:val="00557BA1"/>
    <w:rsid w:val="0056278A"/>
    <w:rsid w:val="0056362D"/>
    <w:rsid w:val="005641CC"/>
    <w:rsid w:val="00571E86"/>
    <w:rsid w:val="0057366B"/>
    <w:rsid w:val="00574886"/>
    <w:rsid w:val="0057514E"/>
    <w:rsid w:val="005779F8"/>
    <w:rsid w:val="00580598"/>
    <w:rsid w:val="00582705"/>
    <w:rsid w:val="00583114"/>
    <w:rsid w:val="00585DD6"/>
    <w:rsid w:val="00587185"/>
    <w:rsid w:val="005A2261"/>
    <w:rsid w:val="005A343A"/>
    <w:rsid w:val="005A39E0"/>
    <w:rsid w:val="005A7F7F"/>
    <w:rsid w:val="005B4508"/>
    <w:rsid w:val="005C0D4E"/>
    <w:rsid w:val="005C2ECE"/>
    <w:rsid w:val="005C72D3"/>
    <w:rsid w:val="005C7B0E"/>
    <w:rsid w:val="005D062B"/>
    <w:rsid w:val="005D6B38"/>
    <w:rsid w:val="005D76C7"/>
    <w:rsid w:val="005F0006"/>
    <w:rsid w:val="005F258B"/>
    <w:rsid w:val="005F3B7A"/>
    <w:rsid w:val="005F40CB"/>
    <w:rsid w:val="005F5D09"/>
    <w:rsid w:val="005F7A4B"/>
    <w:rsid w:val="005F7E65"/>
    <w:rsid w:val="00600CAF"/>
    <w:rsid w:val="00601815"/>
    <w:rsid w:val="0061235C"/>
    <w:rsid w:val="006135D6"/>
    <w:rsid w:val="00617BAE"/>
    <w:rsid w:val="0062107D"/>
    <w:rsid w:val="0062130E"/>
    <w:rsid w:val="00621EDA"/>
    <w:rsid w:val="006245CF"/>
    <w:rsid w:val="00624CD0"/>
    <w:rsid w:val="006309FB"/>
    <w:rsid w:val="00630F97"/>
    <w:rsid w:val="006349FF"/>
    <w:rsid w:val="00635273"/>
    <w:rsid w:val="00636995"/>
    <w:rsid w:val="00640DE6"/>
    <w:rsid w:val="00645357"/>
    <w:rsid w:val="00646A97"/>
    <w:rsid w:val="00650AC3"/>
    <w:rsid w:val="00651E50"/>
    <w:rsid w:val="00652AE6"/>
    <w:rsid w:val="00653884"/>
    <w:rsid w:val="00655D16"/>
    <w:rsid w:val="00661179"/>
    <w:rsid w:val="00663EC0"/>
    <w:rsid w:val="00670E4C"/>
    <w:rsid w:val="00672EEC"/>
    <w:rsid w:val="00673414"/>
    <w:rsid w:val="0067470C"/>
    <w:rsid w:val="00674F96"/>
    <w:rsid w:val="00677C01"/>
    <w:rsid w:val="00680808"/>
    <w:rsid w:val="0068439B"/>
    <w:rsid w:val="006870C6"/>
    <w:rsid w:val="00690E75"/>
    <w:rsid w:val="00693794"/>
    <w:rsid w:val="006A0B51"/>
    <w:rsid w:val="006A0C41"/>
    <w:rsid w:val="006A3D98"/>
    <w:rsid w:val="006A6D01"/>
    <w:rsid w:val="006B0A7B"/>
    <w:rsid w:val="006B1403"/>
    <w:rsid w:val="006B73CD"/>
    <w:rsid w:val="006C02FC"/>
    <w:rsid w:val="006C20DF"/>
    <w:rsid w:val="006C44D0"/>
    <w:rsid w:val="006C4F1C"/>
    <w:rsid w:val="006D152B"/>
    <w:rsid w:val="006D4652"/>
    <w:rsid w:val="006D4D87"/>
    <w:rsid w:val="006D653F"/>
    <w:rsid w:val="006E0132"/>
    <w:rsid w:val="006E3D73"/>
    <w:rsid w:val="006E473F"/>
    <w:rsid w:val="006F1B26"/>
    <w:rsid w:val="006F231C"/>
    <w:rsid w:val="006F2E5D"/>
    <w:rsid w:val="006F7213"/>
    <w:rsid w:val="00703E62"/>
    <w:rsid w:val="00705BDF"/>
    <w:rsid w:val="007117FF"/>
    <w:rsid w:val="00717739"/>
    <w:rsid w:val="00720EFE"/>
    <w:rsid w:val="00721B1F"/>
    <w:rsid w:val="0073230B"/>
    <w:rsid w:val="00735509"/>
    <w:rsid w:val="0074158E"/>
    <w:rsid w:val="00750E2E"/>
    <w:rsid w:val="007514EB"/>
    <w:rsid w:val="007538F6"/>
    <w:rsid w:val="00754FA7"/>
    <w:rsid w:val="00757E3D"/>
    <w:rsid w:val="00761D95"/>
    <w:rsid w:val="00761EC5"/>
    <w:rsid w:val="007651B6"/>
    <w:rsid w:val="007715D2"/>
    <w:rsid w:val="00772AE0"/>
    <w:rsid w:val="00772EB0"/>
    <w:rsid w:val="00772F5A"/>
    <w:rsid w:val="00773314"/>
    <w:rsid w:val="00775A23"/>
    <w:rsid w:val="00782BA2"/>
    <w:rsid w:val="00783C7D"/>
    <w:rsid w:val="00790C76"/>
    <w:rsid w:val="0079375C"/>
    <w:rsid w:val="007A293E"/>
    <w:rsid w:val="007A711A"/>
    <w:rsid w:val="007C1AC4"/>
    <w:rsid w:val="007C2434"/>
    <w:rsid w:val="007C41E5"/>
    <w:rsid w:val="007D00C9"/>
    <w:rsid w:val="007D1E2F"/>
    <w:rsid w:val="007D3336"/>
    <w:rsid w:val="007E22AF"/>
    <w:rsid w:val="007F0974"/>
    <w:rsid w:val="007F272D"/>
    <w:rsid w:val="007F4052"/>
    <w:rsid w:val="007F7399"/>
    <w:rsid w:val="008023B6"/>
    <w:rsid w:val="008029AB"/>
    <w:rsid w:val="008034C0"/>
    <w:rsid w:val="0081188B"/>
    <w:rsid w:val="00815632"/>
    <w:rsid w:val="0081585F"/>
    <w:rsid w:val="00825708"/>
    <w:rsid w:val="00825BA5"/>
    <w:rsid w:val="00826030"/>
    <w:rsid w:val="008279BC"/>
    <w:rsid w:val="008329CB"/>
    <w:rsid w:val="0083438E"/>
    <w:rsid w:val="0084244D"/>
    <w:rsid w:val="0084719B"/>
    <w:rsid w:val="00853D3E"/>
    <w:rsid w:val="008542F4"/>
    <w:rsid w:val="00854CEE"/>
    <w:rsid w:val="008560E5"/>
    <w:rsid w:val="00871E4A"/>
    <w:rsid w:val="00873A41"/>
    <w:rsid w:val="00873DCB"/>
    <w:rsid w:val="00874ECD"/>
    <w:rsid w:val="008754D6"/>
    <w:rsid w:val="00876D08"/>
    <w:rsid w:val="0087748D"/>
    <w:rsid w:val="008820AC"/>
    <w:rsid w:val="00883898"/>
    <w:rsid w:val="00891B55"/>
    <w:rsid w:val="00893BE4"/>
    <w:rsid w:val="0089483A"/>
    <w:rsid w:val="00896721"/>
    <w:rsid w:val="008A7DAE"/>
    <w:rsid w:val="008B278B"/>
    <w:rsid w:val="008B33A0"/>
    <w:rsid w:val="008B41FB"/>
    <w:rsid w:val="008B6F34"/>
    <w:rsid w:val="008C1016"/>
    <w:rsid w:val="008C459E"/>
    <w:rsid w:val="008D1920"/>
    <w:rsid w:val="008D4F12"/>
    <w:rsid w:val="008D7C0D"/>
    <w:rsid w:val="008E7D8D"/>
    <w:rsid w:val="00900DF8"/>
    <w:rsid w:val="00901FC7"/>
    <w:rsid w:val="00904382"/>
    <w:rsid w:val="009067F7"/>
    <w:rsid w:val="00907A31"/>
    <w:rsid w:val="00923EC3"/>
    <w:rsid w:val="00927C8A"/>
    <w:rsid w:val="00927FD3"/>
    <w:rsid w:val="0093082C"/>
    <w:rsid w:val="009339DF"/>
    <w:rsid w:val="00941B51"/>
    <w:rsid w:val="00942B8D"/>
    <w:rsid w:val="00942C3F"/>
    <w:rsid w:val="00944957"/>
    <w:rsid w:val="009528BF"/>
    <w:rsid w:val="00956882"/>
    <w:rsid w:val="009573BF"/>
    <w:rsid w:val="00957624"/>
    <w:rsid w:val="009619DE"/>
    <w:rsid w:val="00962F6A"/>
    <w:rsid w:val="00965998"/>
    <w:rsid w:val="00967847"/>
    <w:rsid w:val="00971249"/>
    <w:rsid w:val="00971699"/>
    <w:rsid w:val="00972FF5"/>
    <w:rsid w:val="00974A09"/>
    <w:rsid w:val="00975C05"/>
    <w:rsid w:val="00976CFC"/>
    <w:rsid w:val="009806A9"/>
    <w:rsid w:val="00983AE8"/>
    <w:rsid w:val="0098436D"/>
    <w:rsid w:val="00985E41"/>
    <w:rsid w:val="00986C9B"/>
    <w:rsid w:val="00993293"/>
    <w:rsid w:val="00995EC3"/>
    <w:rsid w:val="009A2709"/>
    <w:rsid w:val="009A6DAE"/>
    <w:rsid w:val="009B06D3"/>
    <w:rsid w:val="009B37DA"/>
    <w:rsid w:val="009B3F0B"/>
    <w:rsid w:val="009B61D6"/>
    <w:rsid w:val="009C057B"/>
    <w:rsid w:val="009C294E"/>
    <w:rsid w:val="009C2B75"/>
    <w:rsid w:val="009C4411"/>
    <w:rsid w:val="009C5DB8"/>
    <w:rsid w:val="009C7666"/>
    <w:rsid w:val="009D24A0"/>
    <w:rsid w:val="009D7A5E"/>
    <w:rsid w:val="009E036C"/>
    <w:rsid w:val="009E4F73"/>
    <w:rsid w:val="009E6DD0"/>
    <w:rsid w:val="009E770D"/>
    <w:rsid w:val="009F7409"/>
    <w:rsid w:val="009F765E"/>
    <w:rsid w:val="00A018CA"/>
    <w:rsid w:val="00A053A7"/>
    <w:rsid w:val="00A05B20"/>
    <w:rsid w:val="00A10AF4"/>
    <w:rsid w:val="00A15C01"/>
    <w:rsid w:val="00A17230"/>
    <w:rsid w:val="00A236E1"/>
    <w:rsid w:val="00A32D61"/>
    <w:rsid w:val="00A35C31"/>
    <w:rsid w:val="00A53537"/>
    <w:rsid w:val="00A56EE9"/>
    <w:rsid w:val="00A5758C"/>
    <w:rsid w:val="00A57DC1"/>
    <w:rsid w:val="00A62385"/>
    <w:rsid w:val="00A63834"/>
    <w:rsid w:val="00A70188"/>
    <w:rsid w:val="00A770AC"/>
    <w:rsid w:val="00A770D8"/>
    <w:rsid w:val="00A84EFA"/>
    <w:rsid w:val="00A85DFA"/>
    <w:rsid w:val="00A8606E"/>
    <w:rsid w:val="00A93046"/>
    <w:rsid w:val="00A931FE"/>
    <w:rsid w:val="00A974F2"/>
    <w:rsid w:val="00A97D36"/>
    <w:rsid w:val="00A97F3D"/>
    <w:rsid w:val="00AA0FBA"/>
    <w:rsid w:val="00AA1087"/>
    <w:rsid w:val="00AA1D09"/>
    <w:rsid w:val="00AB195F"/>
    <w:rsid w:val="00AB567F"/>
    <w:rsid w:val="00AB61F4"/>
    <w:rsid w:val="00AC607E"/>
    <w:rsid w:val="00AC7139"/>
    <w:rsid w:val="00AD2E51"/>
    <w:rsid w:val="00AD44E5"/>
    <w:rsid w:val="00AD4542"/>
    <w:rsid w:val="00AD4B65"/>
    <w:rsid w:val="00AD5114"/>
    <w:rsid w:val="00AE1349"/>
    <w:rsid w:val="00AE5FA3"/>
    <w:rsid w:val="00AE7DDF"/>
    <w:rsid w:val="00AF2C8A"/>
    <w:rsid w:val="00AF3A1D"/>
    <w:rsid w:val="00AF54FC"/>
    <w:rsid w:val="00AF550E"/>
    <w:rsid w:val="00B01BFC"/>
    <w:rsid w:val="00B02F3F"/>
    <w:rsid w:val="00B153C9"/>
    <w:rsid w:val="00B17ABC"/>
    <w:rsid w:val="00B17B60"/>
    <w:rsid w:val="00B229B8"/>
    <w:rsid w:val="00B22F6E"/>
    <w:rsid w:val="00B26E4A"/>
    <w:rsid w:val="00B30656"/>
    <w:rsid w:val="00B32027"/>
    <w:rsid w:val="00B3323E"/>
    <w:rsid w:val="00B3389F"/>
    <w:rsid w:val="00B3522E"/>
    <w:rsid w:val="00B40510"/>
    <w:rsid w:val="00B408A2"/>
    <w:rsid w:val="00B446CF"/>
    <w:rsid w:val="00B54C16"/>
    <w:rsid w:val="00B54E02"/>
    <w:rsid w:val="00B5510C"/>
    <w:rsid w:val="00B556F5"/>
    <w:rsid w:val="00B656F4"/>
    <w:rsid w:val="00B73A2F"/>
    <w:rsid w:val="00B77F71"/>
    <w:rsid w:val="00B824D5"/>
    <w:rsid w:val="00B83B93"/>
    <w:rsid w:val="00B85010"/>
    <w:rsid w:val="00B87085"/>
    <w:rsid w:val="00B90502"/>
    <w:rsid w:val="00B90FA4"/>
    <w:rsid w:val="00B92FBF"/>
    <w:rsid w:val="00B962B7"/>
    <w:rsid w:val="00BA5FBF"/>
    <w:rsid w:val="00BB03C5"/>
    <w:rsid w:val="00BB2BC8"/>
    <w:rsid w:val="00BC334F"/>
    <w:rsid w:val="00BC4876"/>
    <w:rsid w:val="00BC72A9"/>
    <w:rsid w:val="00BC73D9"/>
    <w:rsid w:val="00BD609F"/>
    <w:rsid w:val="00BE7291"/>
    <w:rsid w:val="00BE7628"/>
    <w:rsid w:val="00C01792"/>
    <w:rsid w:val="00C01B86"/>
    <w:rsid w:val="00C051D0"/>
    <w:rsid w:val="00C05298"/>
    <w:rsid w:val="00C067DC"/>
    <w:rsid w:val="00C12F92"/>
    <w:rsid w:val="00C14E53"/>
    <w:rsid w:val="00C22E56"/>
    <w:rsid w:val="00C24D5C"/>
    <w:rsid w:val="00C25AA8"/>
    <w:rsid w:val="00C26B39"/>
    <w:rsid w:val="00C317B0"/>
    <w:rsid w:val="00C328C3"/>
    <w:rsid w:val="00C34B4C"/>
    <w:rsid w:val="00C356A2"/>
    <w:rsid w:val="00C4349A"/>
    <w:rsid w:val="00C502DE"/>
    <w:rsid w:val="00C55E46"/>
    <w:rsid w:val="00C56DCD"/>
    <w:rsid w:val="00C57DAA"/>
    <w:rsid w:val="00C60B4A"/>
    <w:rsid w:val="00C64354"/>
    <w:rsid w:val="00C64861"/>
    <w:rsid w:val="00C713A9"/>
    <w:rsid w:val="00C719B6"/>
    <w:rsid w:val="00C71D96"/>
    <w:rsid w:val="00C764E5"/>
    <w:rsid w:val="00C7685A"/>
    <w:rsid w:val="00C80A33"/>
    <w:rsid w:val="00C82034"/>
    <w:rsid w:val="00C83130"/>
    <w:rsid w:val="00C852AE"/>
    <w:rsid w:val="00C87071"/>
    <w:rsid w:val="00C870F9"/>
    <w:rsid w:val="00C87534"/>
    <w:rsid w:val="00C93A6A"/>
    <w:rsid w:val="00C959D4"/>
    <w:rsid w:val="00CB03AE"/>
    <w:rsid w:val="00CB1232"/>
    <w:rsid w:val="00CB4B97"/>
    <w:rsid w:val="00CC3A79"/>
    <w:rsid w:val="00CC3CA3"/>
    <w:rsid w:val="00CC6DDC"/>
    <w:rsid w:val="00CD2BB6"/>
    <w:rsid w:val="00CD31A9"/>
    <w:rsid w:val="00CD557E"/>
    <w:rsid w:val="00CE232E"/>
    <w:rsid w:val="00CF11D9"/>
    <w:rsid w:val="00CF5EE5"/>
    <w:rsid w:val="00CF79F6"/>
    <w:rsid w:val="00D02373"/>
    <w:rsid w:val="00D030CD"/>
    <w:rsid w:val="00D04DE9"/>
    <w:rsid w:val="00D1164E"/>
    <w:rsid w:val="00D13D40"/>
    <w:rsid w:val="00D16778"/>
    <w:rsid w:val="00D22AA1"/>
    <w:rsid w:val="00D2378D"/>
    <w:rsid w:val="00D30CFD"/>
    <w:rsid w:val="00D31238"/>
    <w:rsid w:val="00D322F1"/>
    <w:rsid w:val="00D463E9"/>
    <w:rsid w:val="00D503F3"/>
    <w:rsid w:val="00D52FDA"/>
    <w:rsid w:val="00D53873"/>
    <w:rsid w:val="00D54E1D"/>
    <w:rsid w:val="00D62FEF"/>
    <w:rsid w:val="00D63C47"/>
    <w:rsid w:val="00D66359"/>
    <w:rsid w:val="00D673F8"/>
    <w:rsid w:val="00D81812"/>
    <w:rsid w:val="00D8515A"/>
    <w:rsid w:val="00D91894"/>
    <w:rsid w:val="00D92B55"/>
    <w:rsid w:val="00D93A15"/>
    <w:rsid w:val="00D93B1F"/>
    <w:rsid w:val="00D941C3"/>
    <w:rsid w:val="00DA3B81"/>
    <w:rsid w:val="00DB1055"/>
    <w:rsid w:val="00DB68F3"/>
    <w:rsid w:val="00DB7CD5"/>
    <w:rsid w:val="00DC1284"/>
    <w:rsid w:val="00DC160F"/>
    <w:rsid w:val="00DC3D3A"/>
    <w:rsid w:val="00DC44D7"/>
    <w:rsid w:val="00DC605D"/>
    <w:rsid w:val="00DC643B"/>
    <w:rsid w:val="00DC7148"/>
    <w:rsid w:val="00DD2CFA"/>
    <w:rsid w:val="00DE48D8"/>
    <w:rsid w:val="00DE6375"/>
    <w:rsid w:val="00DF033E"/>
    <w:rsid w:val="00DF078C"/>
    <w:rsid w:val="00DF0C13"/>
    <w:rsid w:val="00DF1690"/>
    <w:rsid w:val="00DF6337"/>
    <w:rsid w:val="00E009FC"/>
    <w:rsid w:val="00E0754B"/>
    <w:rsid w:val="00E16AB1"/>
    <w:rsid w:val="00E21077"/>
    <w:rsid w:val="00E21257"/>
    <w:rsid w:val="00E23605"/>
    <w:rsid w:val="00E24BC1"/>
    <w:rsid w:val="00E26AB3"/>
    <w:rsid w:val="00E26FDD"/>
    <w:rsid w:val="00E346B7"/>
    <w:rsid w:val="00E35419"/>
    <w:rsid w:val="00E43548"/>
    <w:rsid w:val="00E50E6C"/>
    <w:rsid w:val="00E53D9F"/>
    <w:rsid w:val="00E54B74"/>
    <w:rsid w:val="00E6068D"/>
    <w:rsid w:val="00E66D74"/>
    <w:rsid w:val="00E67569"/>
    <w:rsid w:val="00E7117F"/>
    <w:rsid w:val="00E71B07"/>
    <w:rsid w:val="00E75FE9"/>
    <w:rsid w:val="00E80752"/>
    <w:rsid w:val="00E87592"/>
    <w:rsid w:val="00E9049F"/>
    <w:rsid w:val="00E91783"/>
    <w:rsid w:val="00E91CAD"/>
    <w:rsid w:val="00E92EFC"/>
    <w:rsid w:val="00E95CFE"/>
    <w:rsid w:val="00EA1833"/>
    <w:rsid w:val="00EA2571"/>
    <w:rsid w:val="00EA3144"/>
    <w:rsid w:val="00EA6874"/>
    <w:rsid w:val="00EB41B9"/>
    <w:rsid w:val="00EC78CC"/>
    <w:rsid w:val="00ED2B64"/>
    <w:rsid w:val="00ED40C0"/>
    <w:rsid w:val="00EE0C4E"/>
    <w:rsid w:val="00EF0DF5"/>
    <w:rsid w:val="00EF12F1"/>
    <w:rsid w:val="00EF13A0"/>
    <w:rsid w:val="00EF5DED"/>
    <w:rsid w:val="00F00E8E"/>
    <w:rsid w:val="00F05195"/>
    <w:rsid w:val="00F10133"/>
    <w:rsid w:val="00F11832"/>
    <w:rsid w:val="00F16855"/>
    <w:rsid w:val="00F17926"/>
    <w:rsid w:val="00F2162B"/>
    <w:rsid w:val="00F21F95"/>
    <w:rsid w:val="00F22A59"/>
    <w:rsid w:val="00F22BED"/>
    <w:rsid w:val="00F354DD"/>
    <w:rsid w:val="00F35962"/>
    <w:rsid w:val="00F40F77"/>
    <w:rsid w:val="00F415F0"/>
    <w:rsid w:val="00F4483A"/>
    <w:rsid w:val="00F4647D"/>
    <w:rsid w:val="00F4663F"/>
    <w:rsid w:val="00F479C2"/>
    <w:rsid w:val="00F505CC"/>
    <w:rsid w:val="00F5742B"/>
    <w:rsid w:val="00F66364"/>
    <w:rsid w:val="00F665D0"/>
    <w:rsid w:val="00F75712"/>
    <w:rsid w:val="00F9172C"/>
    <w:rsid w:val="00FA2426"/>
    <w:rsid w:val="00FA5FDD"/>
    <w:rsid w:val="00FB0307"/>
    <w:rsid w:val="00FB034A"/>
    <w:rsid w:val="00FB4DFC"/>
    <w:rsid w:val="00FB510D"/>
    <w:rsid w:val="00FB53A9"/>
    <w:rsid w:val="00FB6E7F"/>
    <w:rsid w:val="00FC0C15"/>
    <w:rsid w:val="00FC1F0D"/>
    <w:rsid w:val="00FC27E5"/>
    <w:rsid w:val="00FC5592"/>
    <w:rsid w:val="00FC5D0D"/>
    <w:rsid w:val="00FC5D2A"/>
    <w:rsid w:val="00FE00E0"/>
    <w:rsid w:val="00FE1257"/>
    <w:rsid w:val="00FE3F19"/>
    <w:rsid w:val="00FF0EE7"/>
    <w:rsid w:val="00FF21D8"/>
    <w:rsid w:val="00FF26BE"/>
    <w:rsid w:val="00FF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C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471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748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7DCE"/>
    <w:pPr>
      <w:widowControl w:val="0"/>
      <w:autoSpaceDE w:val="0"/>
      <w:autoSpaceDN w:val="0"/>
      <w:adjustRightInd w:val="0"/>
      <w:spacing w:line="260" w:lineRule="auto"/>
      <w:ind w:left="720" w:firstLine="500"/>
      <w:contextualSpacing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ks.ru/wps/wcm/connect/rosstat_main/rosstat/ru/statistics/environ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chart" Target="charts/chart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depthPercent val="70"/>
      <c:rAngAx val="1"/>
    </c:view3D>
    <c:floor>
      <c:spPr>
        <a:solidFill>
          <a:schemeClr val="bg1">
            <a:lumMod val="85000"/>
          </a:schemeClr>
        </a:solidFill>
        <a:ln>
          <a:noFill/>
        </a:ln>
      </c:spPr>
    </c:floor>
    <c:sideWall>
      <c:spPr>
        <a:noFill/>
        <a:ln>
          <a:solidFill>
            <a:sysClr val="windowText" lastClr="000000"/>
          </a:solidFill>
        </a:ln>
      </c:spPr>
    </c:sideWall>
    <c:backWall>
      <c:spPr>
        <a:noFill/>
        <a:ln>
          <a:solidFill>
            <a:sysClr val="windowText" lastClr="000000"/>
          </a:solidFill>
        </a:ln>
      </c:spPr>
    </c:backWall>
    <c:plotArea>
      <c:layout>
        <c:manualLayout>
          <c:layoutTarget val="inner"/>
          <c:xMode val="edge"/>
          <c:yMode val="edge"/>
          <c:x val="8.8277376786235276E-2"/>
          <c:y val="2.5153730783652052E-2"/>
          <c:w val="0.91172262321376563"/>
          <c:h val="0.49780584847388781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сельское хозяйство, охота и лесное хозяйство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0.66000000000000436</c:v>
                </c:pt>
                <c:pt idx="1">
                  <c:v>0.71000000000000063</c:v>
                </c:pt>
                <c:pt idx="2">
                  <c:v>1.26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30.1</c:v>
                </c:pt>
                <c:pt idx="1">
                  <c:v>27.2</c:v>
                </c:pt>
                <c:pt idx="2">
                  <c:v>28.310000000000031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35.49</c:v>
                </c:pt>
                <c:pt idx="1">
                  <c:v>33.64</c:v>
                </c:pt>
                <c:pt idx="2">
                  <c:v>33.300000000000004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19.5</c:v>
                </c:pt>
                <c:pt idx="1">
                  <c:v>22.64</c:v>
                </c:pt>
                <c:pt idx="2">
                  <c:v>21.01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транспорт и связь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10.210000000000001</c:v>
                </c:pt>
                <c:pt idx="1">
                  <c:v>12.69</c:v>
                </c:pt>
                <c:pt idx="2">
                  <c:v>10.65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предоставление прочих коммунальных, социальных и персональных услуг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4.04</c:v>
                </c:pt>
                <c:pt idx="1">
                  <c:v>3.11</c:v>
                </c:pt>
                <c:pt idx="2">
                  <c:v>5.4700000000000024</c:v>
                </c:pt>
              </c:numCache>
            </c:numRef>
          </c:val>
        </c:ser>
        <c:shape val="box"/>
        <c:axId val="83011072"/>
        <c:axId val="83120896"/>
        <c:axId val="0"/>
      </c:bar3DChart>
      <c:catAx>
        <c:axId val="83011072"/>
        <c:scaling>
          <c:orientation val="minMax"/>
        </c:scaling>
        <c:axPos val="b"/>
        <c:numFmt formatCode="General" sourceLinked="1"/>
        <c:tickLblPos val="nextTo"/>
        <c:crossAx val="83120896"/>
        <c:crosses val="autoZero"/>
        <c:auto val="1"/>
        <c:lblAlgn val="ctr"/>
        <c:lblOffset val="100"/>
      </c:catAx>
      <c:valAx>
        <c:axId val="83120896"/>
        <c:scaling>
          <c:orientation val="minMax"/>
        </c:scaling>
        <c:axPos val="l"/>
        <c:majorGridlines/>
        <c:numFmt formatCode="0%" sourceLinked="1"/>
        <c:tickLblPos val="nextTo"/>
        <c:crossAx val="830110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0602398658501036E-2"/>
          <c:y val="0.63253337897980155"/>
          <c:w val="0.93731372120151646"/>
          <c:h val="0.34501692723192251"/>
        </c:manualLayout>
      </c:layout>
      <c:spPr>
        <a:ln>
          <a:solidFill>
            <a:sysClr val="windowText" lastClr="000000"/>
          </a:solidFill>
        </a:ln>
      </c:spPr>
    </c:legend>
    <c:plotVisOnly val="1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20"/>
      <c:depthPercent val="70"/>
      <c:rAngAx val="1"/>
    </c:view3D>
    <c:floor>
      <c:spPr>
        <a:solidFill>
          <a:schemeClr val="bg1">
            <a:lumMod val="85000"/>
          </a:schemeClr>
        </a:solidFill>
      </c:spPr>
    </c:floor>
    <c:sideWall>
      <c:spPr>
        <a:ln>
          <a:solidFill>
            <a:sysClr val="windowText" lastClr="000000"/>
          </a:solidFill>
        </a:ln>
      </c:spPr>
    </c:sideWall>
    <c:backWall>
      <c:spPr>
        <a:ln>
          <a:solidFill>
            <a:sysClr val="windowText" lastClr="000000"/>
          </a:solidFill>
        </a:ln>
      </c:spPr>
    </c:backWall>
    <c:plotArea>
      <c:layout>
        <c:manualLayout>
          <c:layoutTarget val="inner"/>
          <c:xMode val="edge"/>
          <c:yMode val="edge"/>
          <c:x val="8.0847003499562725E-2"/>
          <c:y val="2.7501415264268452E-2"/>
          <c:w val="0.91545931758530263"/>
          <c:h val="0.5708589367505558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сельское хозяйство, охота и лесное хозяйство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5.84</c:v>
                </c:pt>
                <c:pt idx="1">
                  <c:v>5.0999999999999996</c:v>
                </c:pt>
                <c:pt idx="2">
                  <c:v>5.55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5.75</c:v>
                </c:pt>
                <c:pt idx="1">
                  <c:v>5.52</c:v>
                </c:pt>
                <c:pt idx="2">
                  <c:v>5.44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21.27</c:v>
                </c:pt>
                <c:pt idx="1">
                  <c:v>18.5</c:v>
                </c:pt>
                <c:pt idx="2">
                  <c:v>17.899999999999999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51.87</c:v>
                </c:pt>
                <c:pt idx="1">
                  <c:v>55.730000000000011</c:v>
                </c:pt>
                <c:pt idx="2">
                  <c:v>56.08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транспорт и связь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0.78</c:v>
                </c:pt>
                <c:pt idx="1">
                  <c:v>0.27</c:v>
                </c:pt>
                <c:pt idx="2">
                  <c:v>0.23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предоставление прочих коммунальных, социальных и персональных услуг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2005</c:v>
                </c:pt>
                <c:pt idx="1">
                  <c:v>2010</c:v>
                </c:pt>
                <c:pt idx="2">
                  <c:v>2016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14.48</c:v>
                </c:pt>
                <c:pt idx="1">
                  <c:v>14.870000000000006</c:v>
                </c:pt>
                <c:pt idx="2">
                  <c:v>14.8</c:v>
                </c:pt>
              </c:numCache>
            </c:numRef>
          </c:val>
        </c:ser>
        <c:shape val="box"/>
        <c:axId val="123913728"/>
        <c:axId val="123915264"/>
        <c:axId val="0"/>
      </c:bar3DChart>
      <c:catAx>
        <c:axId val="1239137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23915264"/>
        <c:crosses val="autoZero"/>
        <c:auto val="1"/>
        <c:lblAlgn val="ctr"/>
        <c:lblOffset val="100"/>
      </c:catAx>
      <c:valAx>
        <c:axId val="123915264"/>
        <c:scaling>
          <c:orientation val="minMax"/>
        </c:scaling>
        <c:axPos val="l"/>
        <c:majorGridlines/>
        <c:numFmt formatCode="0%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050"/>
            </a:pPr>
            <a:endParaRPr lang="ru-RU"/>
          </a:p>
        </c:txPr>
        <c:crossAx val="123913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3750546806649169E-2"/>
          <c:y val="0.68021546326317428"/>
          <c:w val="0.9072211286089239"/>
          <c:h val="0.29239599951967027"/>
        </c:manualLayout>
      </c:layout>
      <c:spPr>
        <a:ln>
          <a:solidFill>
            <a:schemeClr val="tx1"/>
          </a:solidFill>
        </a:ln>
      </c:spPr>
      <c:txPr>
        <a:bodyPr/>
        <a:lstStyle/>
        <a:p>
          <a:pPr>
            <a:defRPr sz="1050"/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ФиК</cp:lastModifiedBy>
  <cp:revision>2</cp:revision>
  <dcterms:created xsi:type="dcterms:W3CDTF">2017-12-20T11:36:00Z</dcterms:created>
  <dcterms:modified xsi:type="dcterms:W3CDTF">2017-12-20T11:36:00Z</dcterms:modified>
</cp:coreProperties>
</file>