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0F" w:rsidRDefault="00CF530F" w:rsidP="00CF53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Какие составляющие собственного капитала зависят от институциональных особенностей бизнеса</w:t>
      </w:r>
    </w:p>
    <w:p w:rsidR="00CF530F" w:rsidRDefault="00CF530F" w:rsidP="00CF53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методы используются для анализа и оценки </w:t>
      </w:r>
      <w:proofErr w:type="gramStart"/>
      <w:r>
        <w:rPr>
          <w:sz w:val="24"/>
          <w:szCs w:val="24"/>
        </w:rPr>
        <w:t>оптимальности структуры источников финансирования бизнеса</w:t>
      </w:r>
      <w:proofErr w:type="gramEnd"/>
    </w:p>
    <w:p w:rsidR="00CF530F" w:rsidRPr="000E761F" w:rsidRDefault="00CF530F" w:rsidP="00CF530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способы расчета собственные оборотных средств</w:t>
      </w: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2A99"/>
    <w:multiLevelType w:val="hybridMultilevel"/>
    <w:tmpl w:val="2EE6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0F"/>
    <w:rsid w:val="00A74F5E"/>
    <w:rsid w:val="00C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2020-03-18T07:27:00Z</dcterms:created>
  <dcterms:modified xsi:type="dcterms:W3CDTF">2020-03-18T07:28:00Z</dcterms:modified>
</cp:coreProperties>
</file>